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6" w:lineRule="auto"/>
        <w:ind w:left="-720" w:right="-720" w:firstLine="0"/>
        <w:rPr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The Mississippi AI Collaborative is revving up for </w:t>
      </w:r>
      <w:r w:rsidDel="00000000" w:rsidR="00000000" w:rsidRPr="00000000">
        <w:rPr>
          <w:b w:val="1"/>
          <w:color w:val="52adcd"/>
          <w:sz w:val="24"/>
          <w:szCs w:val="24"/>
          <w:rtl w:val="0"/>
        </w:rPr>
        <w:t xml:space="preserve">Southern Spark</w:t>
      </w: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, the must-attend conference for anyone passionate about artificial intelligence!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Buckle up and prepare for an electrifying experience to spark innovation and collaboration across Mississippi and the Southern US. </w:t>
      </w:r>
      <w:r w:rsidDel="00000000" w:rsidR="00000000" w:rsidRPr="00000000">
        <w:rPr>
          <w:b w:val="1"/>
          <w:color w:val="52adcd"/>
          <w:sz w:val="24"/>
          <w:szCs w:val="24"/>
          <w:rtl w:val="0"/>
        </w:rPr>
        <w:t xml:space="preserve">Southern Spark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is your chance to connect with a vibrant community of educators, researchers, industry leaders, and community leaders who are all eager to push the boundaries of what's possible with AI.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420" w:lineRule="auto"/>
        <w:ind w:left="-720" w:right="-720" w:firstLine="0"/>
        <w:jc w:val="center"/>
        <w:rPr>
          <w:b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</w:rPr>
        <w:drawing>
          <wp:inline distB="114300" distT="114300" distL="114300" distR="114300">
            <wp:extent cx="2162175" cy="2162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60" w:line="276" w:lineRule="auto"/>
        <w:ind w:left="0" w:right="-720" w:hanging="360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Sharpen your skills: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Learn from the best and refine your AI expertise.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0" w:right="-720" w:hanging="360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Fuel your passion: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Discover new ways to leverage AI in your learning environment.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276" w:lineRule="auto"/>
        <w:ind w:left="0" w:right="-720" w:hanging="360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Collaborate: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Network with a vibrant community driving the future of AI.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beforeAutospacing="0" w:line="276" w:lineRule="auto"/>
        <w:ind w:left="0" w:right="-720" w:hanging="360"/>
        <w:rPr>
          <w:color w:val="1f1f1f"/>
          <w:sz w:val="24"/>
          <w:szCs w:val="24"/>
          <w:u w:val="none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Spark a revolution: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Be part of the movement shaping the South's AI landscape.</w:t>
      </w:r>
    </w:p>
    <w:p w:rsidR="00000000" w:rsidDel="00000000" w:rsidP="00000000" w:rsidRDefault="00000000" w:rsidRPr="00000000" w14:paraId="00000007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right="-720" w:firstLine="0"/>
        <w:jc w:val="center"/>
        <w:rPr>
          <w:b w:val="1"/>
          <w:color w:val="52adcd"/>
          <w:sz w:val="24"/>
          <w:szCs w:val="24"/>
        </w:rPr>
      </w:pPr>
      <w:r w:rsidDel="00000000" w:rsidR="00000000" w:rsidRPr="00000000">
        <w:rPr>
          <w:b w:val="1"/>
          <w:color w:val="52adcd"/>
          <w:sz w:val="24"/>
          <w:szCs w:val="24"/>
          <w:rtl w:val="0"/>
        </w:rPr>
        <w:t xml:space="preserve">Keynote Speakers: Kristina Ishmael, Dr. Nashlie Sephus, and Krystal Chatman</w:t>
      </w:r>
    </w:p>
    <w:p w:rsidR="00000000" w:rsidDel="00000000" w:rsidP="00000000" w:rsidRDefault="00000000" w:rsidRPr="00000000" w14:paraId="00000009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 are currently accepting proposals for presentations at the conference. The conference will feature three tracks: community, education, and business. A full call for proposals is attached and more information can be found on our website: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southernsparkcon.com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Please share this with anyone you feel may be interested in this conference and this call for proposals.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Early bird registration will be available on April 15, 2024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 addition, there are sponsorship opportunities available in addition to exhibitor opportunities. Email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team@southernsparkcon.com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 to discuss those opportunities.</w:t>
      </w:r>
    </w:p>
    <w:p w:rsidR="00000000" w:rsidDel="00000000" w:rsidP="00000000" w:rsidRDefault="00000000" w:rsidRPr="00000000" w14:paraId="0000000F">
      <w:pPr>
        <w:ind w:left="-720" w:right="-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720" w:right="-720" w:firstLine="0"/>
        <w:jc w:val="center"/>
        <w:rPr/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6344151" cy="8199712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4151" cy="8199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  <w:t xml:space="preserve">Contact: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team@southernsparkcon.com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  <w:t xml:space="preserve">Contact: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team@southernsparkcon.com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33488" cy="511016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511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outhernsparkcon.com" TargetMode="External"/><Relationship Id="rId8" Type="http://schemas.openxmlformats.org/officeDocument/2006/relationships/hyperlink" Target="mailto:team@southernsparkcon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eam@southernsparkcon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team@southernsparkcon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