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Flyer layout"/>
      </w:tblPr>
      <w:tblGrid>
        <w:gridCol w:w="8398"/>
        <w:gridCol w:w="2673"/>
      </w:tblGrid>
      <w:tr w:rsidR="00146347" w14:paraId="33E54E42" w14:textId="77777777" w:rsidTr="00DC4C17">
        <w:trPr>
          <w:trHeight w:hRule="exact" w:val="14730"/>
          <w:jc w:val="center"/>
        </w:trPr>
        <w:tc>
          <w:tcPr>
            <w:tcW w:w="8398" w:type="dxa"/>
          </w:tcPr>
          <w:p w14:paraId="3B61E293" w14:textId="53E8174F" w:rsidR="00146347" w:rsidRDefault="00146347">
            <w:pPr>
              <w:spacing w:after="80"/>
            </w:pPr>
          </w:p>
          <w:p w14:paraId="1B838E42" w14:textId="787FF5C7" w:rsidR="005B7BB8" w:rsidRDefault="005B7BB8" w:rsidP="005B7BB8">
            <w:pPr>
              <w:pStyle w:val="Heading1"/>
            </w:pPr>
            <w:r w:rsidRPr="005B7BB8">
              <w:rPr>
                <w:noProof/>
              </w:rPr>
              <w:drawing>
                <wp:inline distT="0" distB="0" distL="0" distR="0" wp14:anchorId="07D0E36A" wp14:editId="38E74934">
                  <wp:extent cx="5162400" cy="202040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2400" cy="2149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3DF4BA" w14:textId="0E3828D8" w:rsidR="00146347" w:rsidRPr="00556513" w:rsidRDefault="004300C2" w:rsidP="004300C2">
            <w:pPr>
              <w:pStyle w:val="Heading1"/>
              <w:jc w:val="center"/>
              <w:rPr>
                <w:color w:val="0070C0"/>
                <w:sz w:val="96"/>
                <w:szCs w:val="96"/>
              </w:rPr>
            </w:pPr>
            <w:r w:rsidRPr="00556513">
              <w:rPr>
                <w:color w:val="0070C0"/>
                <w:sz w:val="96"/>
                <w:szCs w:val="96"/>
              </w:rPr>
              <w:t>E</w:t>
            </w:r>
            <w:r w:rsidR="005B7BB8" w:rsidRPr="00556513">
              <w:rPr>
                <w:noProof/>
                <w:color w:val="0070C0"/>
                <w:sz w:val="96"/>
                <w:szCs w:val="96"/>
              </w:rPr>
              <w:t>M</w:t>
            </w:r>
            <w:r w:rsidRPr="00556513">
              <w:rPr>
                <w:color w:val="0070C0"/>
                <w:sz w:val="96"/>
                <w:szCs w:val="96"/>
              </w:rPr>
              <w:t>CED Principal Bootcamp</w:t>
            </w:r>
          </w:p>
          <w:p w14:paraId="24E241EA" w14:textId="1F9DFF10" w:rsidR="00146347" w:rsidRPr="00556513" w:rsidRDefault="004300C2" w:rsidP="00DC4C17">
            <w:pPr>
              <w:pStyle w:val="Heading2"/>
              <w:jc w:val="center"/>
              <w:rPr>
                <w:color w:val="0070C0"/>
              </w:rPr>
            </w:pPr>
            <w:r w:rsidRPr="00556513">
              <w:rPr>
                <w:color w:val="0070C0"/>
              </w:rPr>
              <w:t xml:space="preserve">June </w:t>
            </w:r>
            <w:r w:rsidR="0039654A" w:rsidRPr="00556513">
              <w:rPr>
                <w:color w:val="0070C0"/>
              </w:rPr>
              <w:t>3-4</w:t>
            </w:r>
            <w:r w:rsidRPr="00556513">
              <w:rPr>
                <w:color w:val="0070C0"/>
              </w:rPr>
              <w:t>, 202</w:t>
            </w:r>
            <w:r w:rsidR="0039654A" w:rsidRPr="00556513">
              <w:rPr>
                <w:color w:val="0070C0"/>
              </w:rPr>
              <w:t>4</w:t>
            </w:r>
          </w:p>
          <w:p w14:paraId="17076648" w14:textId="32EBB128" w:rsidR="00146347" w:rsidRPr="00556513" w:rsidRDefault="004300C2" w:rsidP="00DC4C17">
            <w:pPr>
              <w:pStyle w:val="Heading3"/>
              <w:jc w:val="center"/>
              <w:rPr>
                <w:color w:val="0070C0"/>
              </w:rPr>
            </w:pPr>
            <w:r w:rsidRPr="00556513">
              <w:rPr>
                <w:color w:val="0070C0"/>
              </w:rPr>
              <w:t>MSU-Meridian</w:t>
            </w:r>
          </w:p>
          <w:p w14:paraId="45590DDE" w14:textId="7BC2A7D0" w:rsidR="004300C2" w:rsidRPr="00556513" w:rsidRDefault="004300C2" w:rsidP="00DC4C17">
            <w:pPr>
              <w:jc w:val="center"/>
              <w:rPr>
                <w:color w:val="0070C0"/>
              </w:rPr>
            </w:pPr>
            <w:r w:rsidRPr="00556513">
              <w:rPr>
                <w:color w:val="0070C0"/>
              </w:rPr>
              <w:t>Meridian, Mississippi</w:t>
            </w:r>
            <w:r w:rsidR="00DC4C17" w:rsidRPr="00556513">
              <w:rPr>
                <w:color w:val="0070C0"/>
              </w:rPr>
              <w:t xml:space="preserve"> 39307</w:t>
            </w:r>
          </w:p>
          <w:p w14:paraId="2B6CBB0E" w14:textId="77777777" w:rsidR="004300C2" w:rsidRPr="00556513" w:rsidRDefault="004300C2" w:rsidP="004300C2">
            <w:pPr>
              <w:rPr>
                <w:color w:val="0070C0"/>
              </w:rPr>
            </w:pPr>
          </w:p>
          <w:p w14:paraId="605F0ACA" w14:textId="1DF738F7" w:rsidR="00146347" w:rsidRPr="00556513" w:rsidRDefault="004300C2">
            <w:pPr>
              <w:pStyle w:val="Heading4"/>
              <w:rPr>
                <w:color w:val="0070C0"/>
              </w:rPr>
            </w:pPr>
            <w:r w:rsidRPr="00556513">
              <w:rPr>
                <w:color w:val="0070C0"/>
              </w:rPr>
              <w:t xml:space="preserve">Who </w:t>
            </w:r>
            <w:r w:rsidR="005B7BB8" w:rsidRPr="00556513">
              <w:rPr>
                <w:color w:val="0070C0"/>
              </w:rPr>
              <w:t>S</w:t>
            </w:r>
            <w:r w:rsidRPr="00556513">
              <w:rPr>
                <w:color w:val="0070C0"/>
              </w:rPr>
              <w:t xml:space="preserve">hould </w:t>
            </w:r>
            <w:r w:rsidR="0039654A" w:rsidRPr="00556513">
              <w:rPr>
                <w:color w:val="0070C0"/>
              </w:rPr>
              <w:t>Attend?</w:t>
            </w:r>
          </w:p>
          <w:p w14:paraId="51B337A9" w14:textId="42BC9D07" w:rsidR="004300C2" w:rsidRPr="00556513" w:rsidRDefault="004300C2" w:rsidP="004300C2">
            <w:pPr>
              <w:pStyle w:val="ListParagraph"/>
              <w:numPr>
                <w:ilvl w:val="0"/>
                <w:numId w:val="1"/>
              </w:numPr>
              <w:rPr>
                <w:color w:val="0070C0"/>
              </w:rPr>
            </w:pPr>
            <w:r w:rsidRPr="00556513">
              <w:rPr>
                <w:color w:val="0070C0"/>
              </w:rPr>
              <w:t>Novice</w:t>
            </w:r>
            <w:r w:rsidR="00FE5398" w:rsidRPr="00556513">
              <w:rPr>
                <w:color w:val="0070C0"/>
              </w:rPr>
              <w:t xml:space="preserve"> Administrators</w:t>
            </w:r>
          </w:p>
          <w:p w14:paraId="6065AA51" w14:textId="3B28B568" w:rsidR="004300C2" w:rsidRPr="00556513" w:rsidRDefault="004300C2" w:rsidP="004300C2">
            <w:pPr>
              <w:pStyle w:val="ListParagraph"/>
              <w:numPr>
                <w:ilvl w:val="0"/>
                <w:numId w:val="1"/>
              </w:numPr>
              <w:rPr>
                <w:color w:val="0070C0"/>
              </w:rPr>
            </w:pPr>
            <w:r w:rsidRPr="00556513">
              <w:rPr>
                <w:color w:val="0070C0"/>
              </w:rPr>
              <w:t>New</w:t>
            </w:r>
            <w:r w:rsidR="00FE5398" w:rsidRPr="00556513">
              <w:rPr>
                <w:color w:val="0070C0"/>
              </w:rPr>
              <w:t xml:space="preserve"> Administrators</w:t>
            </w:r>
          </w:p>
          <w:p w14:paraId="705C0D6D" w14:textId="653EB75E" w:rsidR="004300C2" w:rsidRPr="00556513" w:rsidRDefault="004300C2" w:rsidP="004300C2">
            <w:pPr>
              <w:pStyle w:val="ListParagraph"/>
              <w:numPr>
                <w:ilvl w:val="0"/>
                <w:numId w:val="1"/>
              </w:numPr>
              <w:rPr>
                <w:color w:val="0070C0"/>
              </w:rPr>
            </w:pPr>
            <w:r w:rsidRPr="00556513">
              <w:rPr>
                <w:color w:val="0070C0"/>
              </w:rPr>
              <w:t>Aspiring</w:t>
            </w:r>
            <w:r w:rsidR="00FE5398" w:rsidRPr="00556513">
              <w:rPr>
                <w:color w:val="0070C0"/>
              </w:rPr>
              <w:t xml:space="preserve"> Administrators</w:t>
            </w:r>
          </w:p>
          <w:p w14:paraId="29A5DCAD" w14:textId="1BF02037" w:rsidR="005B7BB8" w:rsidRPr="00556513" w:rsidRDefault="005B7BB8" w:rsidP="004300C2">
            <w:pPr>
              <w:rPr>
                <w:color w:val="0070C0"/>
              </w:rPr>
            </w:pPr>
            <w:r w:rsidRPr="00556513">
              <w:rPr>
                <w:color w:val="0070C0"/>
              </w:rPr>
              <w:t xml:space="preserve">This bootcamp will look at the </w:t>
            </w:r>
            <w:r w:rsidR="00CE38C9" w:rsidRPr="00556513">
              <w:rPr>
                <w:color w:val="0070C0"/>
              </w:rPr>
              <w:t>day-to-day</w:t>
            </w:r>
            <w:r w:rsidRPr="00556513">
              <w:rPr>
                <w:color w:val="0070C0"/>
              </w:rPr>
              <w:t xml:space="preserve"> operations of school and provide guidance on how to navigate those early days as a new administrator. Each session will be led by some of the </w:t>
            </w:r>
            <w:r w:rsidR="00CE38C9" w:rsidRPr="00556513">
              <w:rPr>
                <w:color w:val="0070C0"/>
              </w:rPr>
              <w:t>state’s</w:t>
            </w:r>
            <w:r w:rsidRPr="00556513">
              <w:rPr>
                <w:color w:val="0070C0"/>
              </w:rPr>
              <w:t xml:space="preserve"> </w:t>
            </w:r>
            <w:r w:rsidR="00FE5398" w:rsidRPr="00556513">
              <w:rPr>
                <w:color w:val="0070C0"/>
              </w:rPr>
              <w:t xml:space="preserve">top </w:t>
            </w:r>
            <w:r w:rsidRPr="00556513">
              <w:rPr>
                <w:color w:val="0070C0"/>
              </w:rPr>
              <w:t xml:space="preserve">current administrators who will provide useful information, </w:t>
            </w:r>
            <w:r w:rsidR="00CE38C9" w:rsidRPr="00556513">
              <w:rPr>
                <w:color w:val="0070C0"/>
              </w:rPr>
              <w:t>knowledge,</w:t>
            </w:r>
            <w:r w:rsidRPr="00556513">
              <w:rPr>
                <w:color w:val="0070C0"/>
              </w:rPr>
              <w:t xml:space="preserve"> and support to help you prepare for the new year.</w:t>
            </w:r>
          </w:p>
          <w:p w14:paraId="3967ECC3" w14:textId="1F8C4933" w:rsidR="005B7BB8" w:rsidRDefault="005B7BB8" w:rsidP="004300C2">
            <w:pPr>
              <w:rPr>
                <w:color w:val="0070C0"/>
              </w:rPr>
            </w:pPr>
            <w:r w:rsidRPr="00556513">
              <w:rPr>
                <w:color w:val="0070C0"/>
              </w:rPr>
              <w:t>This training is free to EMCED members</w:t>
            </w:r>
            <w:r w:rsidR="00842898" w:rsidRPr="00556513">
              <w:rPr>
                <w:color w:val="0070C0"/>
              </w:rPr>
              <w:t xml:space="preserve"> and </w:t>
            </w:r>
            <w:r w:rsidR="00FE5398" w:rsidRPr="00556513">
              <w:rPr>
                <w:color w:val="0070C0"/>
              </w:rPr>
              <w:t>$220.00 for non-members.</w:t>
            </w:r>
          </w:p>
          <w:p w14:paraId="49AE0154" w14:textId="361ECA0D" w:rsidR="00AF2183" w:rsidRPr="00556513" w:rsidRDefault="00000000" w:rsidP="004300C2">
            <w:pPr>
              <w:rPr>
                <w:color w:val="0070C0"/>
              </w:rPr>
            </w:pPr>
            <w:hyperlink r:id="rId7" w:history="1">
              <w:r w:rsidR="00AF2183" w:rsidRPr="004540E9">
                <w:rPr>
                  <w:rStyle w:val="Hyperlink"/>
                </w:rPr>
                <w:t xml:space="preserve">Click Here </w:t>
              </w:r>
              <w:r w:rsidR="002A3677" w:rsidRPr="004540E9">
                <w:rPr>
                  <w:rStyle w:val="Hyperlink"/>
                </w:rPr>
                <w:t>to</w:t>
              </w:r>
              <w:r w:rsidR="00AF2183" w:rsidRPr="004540E9">
                <w:rPr>
                  <w:rStyle w:val="Hyperlink"/>
                </w:rPr>
                <w:t xml:space="preserve"> Register</w:t>
              </w:r>
            </w:hyperlink>
          </w:p>
          <w:p w14:paraId="11EB9B72" w14:textId="12C45F8C" w:rsidR="005B7BB8" w:rsidRPr="004300C2" w:rsidRDefault="005B7BB8" w:rsidP="0039654A"/>
        </w:tc>
        <w:tc>
          <w:tcPr>
            <w:tcW w:w="2673" w:type="dxa"/>
            <w:tcMar>
              <w:left w:w="28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ashed" w:sz="8" w:space="0" w:color="231F20" w:themeColor="text2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Side layout"/>
            </w:tblPr>
            <w:tblGrid>
              <w:gridCol w:w="2376"/>
            </w:tblGrid>
            <w:tr w:rsidR="00146347" w14:paraId="1B49A08D" w14:textId="77777777" w:rsidTr="00DC4C17">
              <w:trPr>
                <w:trHeight w:hRule="exact" w:val="732"/>
              </w:trPr>
              <w:tc>
                <w:tcPr>
                  <w:tcW w:w="2376" w:type="dxa"/>
                  <w:vAlign w:val="center"/>
                </w:tcPr>
                <w:p w14:paraId="359976FC" w14:textId="3877F41C" w:rsidR="004300C2" w:rsidRPr="00556513" w:rsidRDefault="004300C2" w:rsidP="004300C2">
                  <w:pPr>
                    <w:jc w:val="center"/>
                    <w:rPr>
                      <w:color w:val="0070C0"/>
                      <w:sz w:val="32"/>
                      <w:szCs w:val="32"/>
                    </w:rPr>
                  </w:pPr>
                  <w:r w:rsidRPr="00556513">
                    <w:rPr>
                      <w:color w:val="0070C0"/>
                      <w:sz w:val="32"/>
                      <w:szCs w:val="32"/>
                    </w:rPr>
                    <w:t>Session Topics</w:t>
                  </w:r>
                </w:p>
                <w:p w14:paraId="6C00AFC8" w14:textId="77777777" w:rsidR="004300C2" w:rsidRPr="00556513" w:rsidRDefault="004300C2" w:rsidP="004300C2">
                  <w:pPr>
                    <w:rPr>
                      <w:color w:val="0070C0"/>
                    </w:rPr>
                  </w:pPr>
                </w:p>
                <w:p w14:paraId="3548976E" w14:textId="77777777" w:rsidR="004300C2" w:rsidRPr="00556513" w:rsidRDefault="004300C2" w:rsidP="004300C2">
                  <w:pPr>
                    <w:rPr>
                      <w:color w:val="0070C0"/>
                    </w:rPr>
                  </w:pPr>
                </w:p>
                <w:p w14:paraId="09C31001" w14:textId="334F64CF" w:rsidR="004300C2" w:rsidRPr="00556513" w:rsidRDefault="004300C2" w:rsidP="004300C2">
                  <w:pPr>
                    <w:rPr>
                      <w:color w:val="0070C0"/>
                    </w:rPr>
                  </w:pPr>
                  <w:r w:rsidRPr="00556513">
                    <w:rPr>
                      <w:color w:val="0070C0"/>
                    </w:rPr>
                    <w:t>Staff and Student Expectations</w:t>
                  </w:r>
                </w:p>
              </w:tc>
            </w:tr>
            <w:tr w:rsidR="00146347" w14:paraId="628BABBB" w14:textId="77777777" w:rsidTr="00930575">
              <w:trPr>
                <w:trHeight w:hRule="exact" w:val="1352"/>
              </w:trPr>
              <w:tc>
                <w:tcPr>
                  <w:tcW w:w="2376" w:type="dxa"/>
                  <w:vAlign w:val="center"/>
                </w:tcPr>
                <w:p w14:paraId="255C573E" w14:textId="4F681B09" w:rsidR="00146347" w:rsidRPr="00556513" w:rsidRDefault="00ED4D90" w:rsidP="00096C3A">
                  <w:pPr>
                    <w:spacing w:after="80"/>
                    <w:jc w:val="center"/>
                    <w:rPr>
                      <w:color w:val="0070C0"/>
                    </w:rPr>
                  </w:pPr>
                  <w:r w:rsidRPr="00556513">
                    <w:rPr>
                      <w:color w:val="0070C0"/>
                    </w:rPr>
                    <w:t xml:space="preserve">Setting Expectations for </w:t>
                  </w:r>
                  <w:r w:rsidR="004300C2" w:rsidRPr="00556513">
                    <w:rPr>
                      <w:color w:val="0070C0"/>
                    </w:rPr>
                    <w:t>Staff and Student</w:t>
                  </w:r>
                  <w:r w:rsidRPr="00556513">
                    <w:rPr>
                      <w:color w:val="0070C0"/>
                    </w:rPr>
                    <w:t>s</w:t>
                  </w:r>
                  <w:r w:rsidR="004300C2" w:rsidRPr="00556513">
                    <w:rPr>
                      <w:color w:val="0070C0"/>
                    </w:rPr>
                    <w:t xml:space="preserve"> </w:t>
                  </w:r>
                </w:p>
              </w:tc>
            </w:tr>
            <w:tr w:rsidR="00146347" w14:paraId="25F58B4B" w14:textId="77777777" w:rsidTr="0039654A">
              <w:trPr>
                <w:trHeight w:hRule="exact" w:val="1352"/>
              </w:trPr>
              <w:tc>
                <w:tcPr>
                  <w:tcW w:w="2376" w:type="dxa"/>
                  <w:vAlign w:val="center"/>
                </w:tcPr>
                <w:p w14:paraId="1D28168B" w14:textId="0C9BF186" w:rsidR="00146347" w:rsidRPr="00556513" w:rsidRDefault="004300C2" w:rsidP="00096C3A">
                  <w:pPr>
                    <w:spacing w:after="80"/>
                    <w:jc w:val="center"/>
                    <w:rPr>
                      <w:color w:val="0070C0"/>
                    </w:rPr>
                  </w:pPr>
                  <w:r w:rsidRPr="00556513">
                    <w:rPr>
                      <w:color w:val="0070C0"/>
                    </w:rPr>
                    <w:t xml:space="preserve">Understanding </w:t>
                  </w:r>
                  <w:r w:rsidR="00096C3A" w:rsidRPr="00556513">
                    <w:rPr>
                      <w:color w:val="0070C0"/>
                    </w:rPr>
                    <w:t>Accountability and</w:t>
                  </w:r>
                  <w:r w:rsidR="00CE38C9" w:rsidRPr="00556513">
                    <w:rPr>
                      <w:color w:val="0070C0"/>
                    </w:rPr>
                    <w:t xml:space="preserve"> </w:t>
                  </w:r>
                  <w:r w:rsidR="0039654A" w:rsidRPr="00556513">
                    <w:rPr>
                      <w:color w:val="0070C0"/>
                    </w:rPr>
                    <w:t>U</w:t>
                  </w:r>
                  <w:r w:rsidR="00ED4D90" w:rsidRPr="00556513">
                    <w:rPr>
                      <w:color w:val="0070C0"/>
                    </w:rPr>
                    <w:t>tilizing</w:t>
                  </w:r>
                  <w:r w:rsidR="0039654A" w:rsidRPr="00556513">
                    <w:rPr>
                      <w:color w:val="0070C0"/>
                    </w:rPr>
                    <w:t xml:space="preserve"> </w:t>
                  </w:r>
                  <w:r w:rsidR="00CE38C9" w:rsidRPr="00556513">
                    <w:rPr>
                      <w:color w:val="0070C0"/>
                    </w:rPr>
                    <w:t>Data</w:t>
                  </w:r>
                </w:p>
              </w:tc>
            </w:tr>
            <w:tr w:rsidR="00146347" w14:paraId="67089FDC" w14:textId="77777777" w:rsidTr="00930575">
              <w:trPr>
                <w:trHeight w:hRule="exact" w:val="1442"/>
              </w:trPr>
              <w:tc>
                <w:tcPr>
                  <w:tcW w:w="2376" w:type="dxa"/>
                  <w:vAlign w:val="center"/>
                </w:tcPr>
                <w:p w14:paraId="4ED1F09D" w14:textId="711376D6" w:rsidR="00146347" w:rsidRPr="00556513" w:rsidRDefault="004300C2" w:rsidP="00096C3A">
                  <w:pPr>
                    <w:spacing w:after="80"/>
                    <w:jc w:val="center"/>
                    <w:rPr>
                      <w:color w:val="0070C0"/>
                    </w:rPr>
                  </w:pPr>
                  <w:r w:rsidRPr="00556513">
                    <w:rPr>
                      <w:color w:val="0070C0"/>
                    </w:rPr>
                    <w:t xml:space="preserve">Special </w:t>
                  </w:r>
                  <w:r w:rsidR="0039654A" w:rsidRPr="00556513">
                    <w:rPr>
                      <w:color w:val="0070C0"/>
                    </w:rPr>
                    <w:t>Education</w:t>
                  </w:r>
                  <w:r w:rsidRPr="00556513">
                    <w:rPr>
                      <w:color w:val="0070C0"/>
                    </w:rPr>
                    <w:t xml:space="preserve"> and the School Administrator</w:t>
                  </w:r>
                </w:p>
              </w:tc>
            </w:tr>
            <w:tr w:rsidR="00146347" w14:paraId="06C5B888" w14:textId="77777777" w:rsidTr="00930575">
              <w:trPr>
                <w:trHeight w:hRule="exact" w:val="1082"/>
              </w:trPr>
              <w:tc>
                <w:tcPr>
                  <w:tcW w:w="2376" w:type="dxa"/>
                  <w:vAlign w:val="center"/>
                </w:tcPr>
                <w:p w14:paraId="7FFC16FC" w14:textId="7FF612DC" w:rsidR="00146347" w:rsidRPr="00556513" w:rsidRDefault="00ED4D90" w:rsidP="00930575">
                  <w:pPr>
                    <w:spacing w:after="80"/>
                    <w:jc w:val="center"/>
                    <w:rPr>
                      <w:color w:val="0070C0"/>
                    </w:rPr>
                  </w:pPr>
                  <w:r w:rsidRPr="00556513">
                    <w:rPr>
                      <w:color w:val="0070C0"/>
                    </w:rPr>
                    <w:t>Becoming an Instructional Leader</w:t>
                  </w:r>
                </w:p>
                <w:p w14:paraId="2CA666E2" w14:textId="3C5ABC71" w:rsidR="0039654A" w:rsidRPr="00556513" w:rsidRDefault="0039654A" w:rsidP="00096C3A">
                  <w:pPr>
                    <w:spacing w:after="80"/>
                    <w:jc w:val="center"/>
                    <w:rPr>
                      <w:color w:val="0070C0"/>
                    </w:rPr>
                  </w:pPr>
                </w:p>
              </w:tc>
            </w:tr>
            <w:tr w:rsidR="00146347" w14:paraId="1DF54D04" w14:textId="77777777" w:rsidTr="00930575">
              <w:trPr>
                <w:trHeight w:hRule="exact" w:val="893"/>
              </w:trPr>
              <w:tc>
                <w:tcPr>
                  <w:tcW w:w="2376" w:type="dxa"/>
                  <w:vAlign w:val="center"/>
                </w:tcPr>
                <w:p w14:paraId="72D2D9AA" w14:textId="1F5A0FC7" w:rsidR="00146347" w:rsidRPr="00556513" w:rsidRDefault="004300C2" w:rsidP="00096C3A">
                  <w:pPr>
                    <w:spacing w:after="80"/>
                    <w:jc w:val="center"/>
                    <w:rPr>
                      <w:color w:val="0070C0"/>
                    </w:rPr>
                  </w:pPr>
                  <w:r w:rsidRPr="00556513">
                    <w:rPr>
                      <w:color w:val="0070C0"/>
                    </w:rPr>
                    <w:t>MTSS</w:t>
                  </w:r>
                </w:p>
              </w:tc>
            </w:tr>
            <w:tr w:rsidR="00146347" w14:paraId="46F03B06" w14:textId="77777777" w:rsidTr="00DC4C17">
              <w:trPr>
                <w:trHeight w:hRule="exact" w:val="1038"/>
              </w:trPr>
              <w:tc>
                <w:tcPr>
                  <w:tcW w:w="2376" w:type="dxa"/>
                  <w:vAlign w:val="center"/>
                </w:tcPr>
                <w:p w14:paraId="7B2148BB" w14:textId="4A22083C" w:rsidR="00146347" w:rsidRPr="00556513" w:rsidRDefault="004300C2" w:rsidP="00096C3A">
                  <w:pPr>
                    <w:spacing w:after="80"/>
                    <w:jc w:val="center"/>
                    <w:rPr>
                      <w:color w:val="0070C0"/>
                    </w:rPr>
                  </w:pPr>
                  <w:r w:rsidRPr="00556513">
                    <w:rPr>
                      <w:color w:val="0070C0"/>
                    </w:rPr>
                    <w:t>CTE/</w:t>
                  </w:r>
                  <w:r w:rsidR="00ED4D90" w:rsidRPr="00556513">
                    <w:rPr>
                      <w:color w:val="0070C0"/>
                    </w:rPr>
                    <w:t>Work Based Learning Opportunities</w:t>
                  </w:r>
                </w:p>
              </w:tc>
            </w:tr>
            <w:tr w:rsidR="00146347" w14:paraId="2D4EC70D" w14:textId="77777777" w:rsidTr="0039654A">
              <w:trPr>
                <w:trHeight w:hRule="exact" w:val="1334"/>
              </w:trPr>
              <w:tc>
                <w:tcPr>
                  <w:tcW w:w="2376" w:type="dxa"/>
                  <w:vAlign w:val="center"/>
                </w:tcPr>
                <w:p w14:paraId="0CE7A26C" w14:textId="54D9A7E7" w:rsidR="00146347" w:rsidRPr="00556513" w:rsidRDefault="00ED4D90" w:rsidP="00ED4D90">
                  <w:pPr>
                    <w:jc w:val="center"/>
                    <w:rPr>
                      <w:color w:val="0070C0"/>
                    </w:rPr>
                  </w:pPr>
                  <w:r w:rsidRPr="00556513">
                    <w:rPr>
                      <w:color w:val="0070C0"/>
                    </w:rPr>
                    <w:t>School Testing and Understanding Master Schedules</w:t>
                  </w:r>
                </w:p>
              </w:tc>
            </w:tr>
            <w:tr w:rsidR="00146347" w14:paraId="7D94EB55" w14:textId="77777777" w:rsidTr="00930575">
              <w:trPr>
                <w:trHeight w:hRule="exact" w:val="1415"/>
              </w:trPr>
              <w:tc>
                <w:tcPr>
                  <w:tcW w:w="2376" w:type="dxa"/>
                  <w:vAlign w:val="center"/>
                </w:tcPr>
                <w:p w14:paraId="22AA6296" w14:textId="1DFCC768" w:rsidR="00146347" w:rsidRPr="00556513" w:rsidRDefault="00ED4D90" w:rsidP="00096C3A">
                  <w:pPr>
                    <w:spacing w:after="80"/>
                    <w:jc w:val="center"/>
                    <w:rPr>
                      <w:color w:val="0070C0"/>
                    </w:rPr>
                  </w:pPr>
                  <w:r w:rsidRPr="00556513">
                    <w:rPr>
                      <w:color w:val="0070C0"/>
                    </w:rPr>
                    <w:t>Basics of School Law/Supervision of Students</w:t>
                  </w:r>
                </w:p>
              </w:tc>
            </w:tr>
            <w:tr w:rsidR="00146347" w14:paraId="0C7082E5" w14:textId="77777777" w:rsidTr="0039654A">
              <w:trPr>
                <w:trHeight w:hRule="exact" w:val="1181"/>
              </w:trPr>
              <w:tc>
                <w:tcPr>
                  <w:tcW w:w="2376" w:type="dxa"/>
                  <w:vAlign w:val="center"/>
                </w:tcPr>
                <w:p w14:paraId="2322E323" w14:textId="2777876B" w:rsidR="00146347" w:rsidRPr="00556513" w:rsidRDefault="00930575" w:rsidP="0039654A">
                  <w:pPr>
                    <w:spacing w:after="80"/>
                    <w:jc w:val="center"/>
                    <w:rPr>
                      <w:color w:val="0070C0"/>
                    </w:rPr>
                  </w:pPr>
                  <w:r w:rsidRPr="00556513">
                    <w:rPr>
                      <w:color w:val="0070C0"/>
                    </w:rPr>
                    <w:t xml:space="preserve">Managing Technology and </w:t>
                  </w:r>
                  <w:r w:rsidR="00ED4D90" w:rsidRPr="00556513">
                    <w:rPr>
                      <w:color w:val="0070C0"/>
                    </w:rPr>
                    <w:t xml:space="preserve">Artificial Intelligence </w:t>
                  </w:r>
                </w:p>
              </w:tc>
            </w:tr>
            <w:tr w:rsidR="00146347" w14:paraId="53879302" w14:textId="77777777" w:rsidTr="0039654A">
              <w:trPr>
                <w:trHeight w:hRule="exact" w:val="1433"/>
              </w:trPr>
              <w:tc>
                <w:tcPr>
                  <w:tcW w:w="2376" w:type="dxa"/>
                  <w:vAlign w:val="center"/>
                </w:tcPr>
                <w:p w14:paraId="15ECEA15" w14:textId="77777777" w:rsidR="00ED4D90" w:rsidRPr="00556513" w:rsidRDefault="00ED4D90" w:rsidP="00ED4D90">
                  <w:pPr>
                    <w:spacing w:after="80"/>
                    <w:jc w:val="center"/>
                    <w:rPr>
                      <w:color w:val="0070C0"/>
                    </w:rPr>
                  </w:pPr>
                  <w:r w:rsidRPr="00556513">
                    <w:rPr>
                      <w:color w:val="0070C0"/>
                    </w:rPr>
                    <w:t xml:space="preserve">10 </w:t>
                  </w:r>
                  <w:proofErr w:type="gramStart"/>
                  <w:r w:rsidRPr="00556513">
                    <w:rPr>
                      <w:color w:val="0070C0"/>
                    </w:rPr>
                    <w:t>SEMI’s</w:t>
                  </w:r>
                  <w:proofErr w:type="gramEnd"/>
                </w:p>
                <w:p w14:paraId="1FD1D443" w14:textId="77777777" w:rsidR="00CE38C9" w:rsidRPr="00556513" w:rsidRDefault="00ED4D90" w:rsidP="00ED4D90">
                  <w:pPr>
                    <w:spacing w:after="80"/>
                    <w:jc w:val="center"/>
                    <w:rPr>
                      <w:color w:val="0070C0"/>
                    </w:rPr>
                  </w:pPr>
                  <w:r w:rsidRPr="00556513">
                    <w:rPr>
                      <w:color w:val="0070C0"/>
                    </w:rPr>
                    <w:t>1 OSL</w:t>
                  </w:r>
                </w:p>
                <w:p w14:paraId="5FFEF847" w14:textId="54EC8FE0" w:rsidR="00930575" w:rsidRPr="00556513" w:rsidRDefault="00930575" w:rsidP="00ED4D90">
                  <w:pPr>
                    <w:spacing w:after="80"/>
                    <w:jc w:val="center"/>
                    <w:rPr>
                      <w:color w:val="0070C0"/>
                    </w:rPr>
                  </w:pPr>
                  <w:r w:rsidRPr="00556513">
                    <w:rPr>
                      <w:color w:val="0070C0"/>
                    </w:rPr>
                    <w:t>1.0 CEU</w:t>
                  </w:r>
                </w:p>
              </w:tc>
            </w:tr>
            <w:tr w:rsidR="00146347" w14:paraId="5DD0C0AA" w14:textId="77777777" w:rsidTr="00DC4C17">
              <w:trPr>
                <w:trHeight w:hRule="exact" w:val="1160"/>
              </w:trPr>
              <w:tc>
                <w:tcPr>
                  <w:tcW w:w="2376" w:type="dxa"/>
                  <w:vAlign w:val="center"/>
                </w:tcPr>
                <w:p w14:paraId="3EFF28E5" w14:textId="4121CDBC" w:rsidR="00FE5398" w:rsidRDefault="00ED4D90" w:rsidP="00CE38C9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8DE82BB" wp14:editId="1B4A2D2E">
                        <wp:extent cx="1477056" cy="766293"/>
                        <wp:effectExtent l="0" t="0" r="0" b="0"/>
                        <wp:docPr id="2" name="Picture 2" descr="Logo, company name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Logo, company name&#10;&#10;Description automatically generated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9906" cy="8144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C7C340B" w14:textId="77777777" w:rsidR="00146347" w:rsidRDefault="00146347">
            <w:pPr>
              <w:spacing w:after="80"/>
            </w:pPr>
          </w:p>
        </w:tc>
      </w:tr>
    </w:tbl>
    <w:p w14:paraId="7EF7FFA8" w14:textId="77777777" w:rsidR="00146347" w:rsidRDefault="00146347"/>
    <w:sectPr w:rsidR="00146347" w:rsidSect="00DC4C17">
      <w:pgSz w:w="12240" w:h="15840"/>
      <w:pgMar w:top="405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A21A2"/>
    <w:multiLevelType w:val="hybridMultilevel"/>
    <w:tmpl w:val="F26A8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630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0C2"/>
    <w:rsid w:val="00000B8C"/>
    <w:rsid w:val="0007013B"/>
    <w:rsid w:val="00096C3A"/>
    <w:rsid w:val="00146347"/>
    <w:rsid w:val="002A3677"/>
    <w:rsid w:val="0039654A"/>
    <w:rsid w:val="003C7DFE"/>
    <w:rsid w:val="004300C2"/>
    <w:rsid w:val="004540E9"/>
    <w:rsid w:val="00476D90"/>
    <w:rsid w:val="00556513"/>
    <w:rsid w:val="005B7BB8"/>
    <w:rsid w:val="00842898"/>
    <w:rsid w:val="00930575"/>
    <w:rsid w:val="00AF2183"/>
    <w:rsid w:val="00CE38C9"/>
    <w:rsid w:val="00DC4C17"/>
    <w:rsid w:val="00ED4D90"/>
    <w:rsid w:val="00FE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9AEF6"/>
  <w15:chartTrackingRefBased/>
  <w15:docId w15:val="{EF83D4B9-7075-0543-858F-C8D636F5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8ACB3" w:themeColor="accent1"/>
        <w:sz w:val="24"/>
        <w:szCs w:val="24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120" w:line="168" w:lineRule="auto"/>
      <w:outlineLvl w:val="0"/>
    </w:pPr>
    <w:rPr>
      <w:rFonts w:asciiTheme="majorHAnsi" w:eastAsiaTheme="majorEastAsia" w:hAnsiTheme="majorHAnsi" w:cstheme="majorBidi"/>
      <w:sz w:val="10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color w:val="595959" w:themeColor="text1" w:themeTint="A6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sz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0" w:after="120"/>
      <w:outlineLvl w:val="3"/>
    </w:pPr>
    <w:rPr>
      <w:rFonts w:asciiTheme="majorHAnsi" w:eastAsiaTheme="majorEastAsia" w:hAnsiTheme="majorHAnsi" w:cstheme="majorBidi"/>
      <w:iCs/>
      <w:color w:val="595959" w:themeColor="text1" w:themeTint="A6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 w:val="0"/>
      <w:iCs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sz w:val="10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595959" w:themeColor="text1" w:themeTint="A6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sz w:val="4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Cs/>
      <w:color w:val="595959" w:themeColor="text1" w:themeTint="A6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i/>
      <w:color w:val="595959" w:themeColor="text1" w:themeTint="A6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sz w:val="20"/>
      <w:szCs w:val="2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4300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7BB8"/>
    <w:rPr>
      <w:color w:val="58ACB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B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40E9"/>
    <w:rPr>
      <w:color w:val="7B70A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emced.msresaservices.com/all-workshops/categories-workshopsemced/events-emced-principal-bootcamp_6_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ythiapouncey/Library/Containers/com.microsoft.Word/Data/Library/Application%20Support/Microsoft/Office/16.0/DTS/en-US%7b4C62DB59-00DE-CA4E-9618-DD036DC10229%7d/%7b2542F890-B122-7348-845E-C295A7BACD74%7dtf10002087.dotx" TargetMode="External"/></Relationships>
</file>

<file path=word/theme/theme1.xml><?xml version="1.0" encoding="utf-8"?>
<a:theme xmlns:a="http://schemas.openxmlformats.org/drawingml/2006/main" name="For Sale Flyer Theme">
  <a:themeElements>
    <a:clrScheme name="Flyer">
      <a:dk1>
        <a:sysClr val="windowText" lastClr="000000"/>
      </a:dk1>
      <a:lt1>
        <a:sysClr val="window" lastClr="FFFFFF"/>
      </a:lt1>
      <a:dk2>
        <a:srgbClr val="231F20"/>
      </a:dk2>
      <a:lt2>
        <a:srgbClr val="F5F7F6"/>
      </a:lt2>
      <a:accent1>
        <a:srgbClr val="58ACB3"/>
      </a:accent1>
      <a:accent2>
        <a:srgbClr val="D75B56"/>
      </a:accent2>
      <a:accent3>
        <a:srgbClr val="DFC456"/>
      </a:accent3>
      <a:accent4>
        <a:srgbClr val="E99248"/>
      </a:accent4>
      <a:accent5>
        <a:srgbClr val="26967A"/>
      </a:accent5>
      <a:accent6>
        <a:srgbClr val="6C6389"/>
      </a:accent6>
      <a:hlink>
        <a:srgbClr val="58ACB3"/>
      </a:hlink>
      <a:folHlink>
        <a:srgbClr val="7B70A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14540E-6ADF-8345-B342-92A85FACE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{2542F890-B122-7348-845E-C295A7BACD74}tf10002087.dotx</Template>
  <TotalTime>59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Brantley</dc:creator>
  <cp:keywords/>
  <dc:description/>
  <cp:lastModifiedBy>Don Brantley</cp:lastModifiedBy>
  <cp:revision>8</cp:revision>
  <cp:lastPrinted>2024-04-11T19:24:00Z</cp:lastPrinted>
  <dcterms:created xsi:type="dcterms:W3CDTF">2024-02-27T19:40:00Z</dcterms:created>
  <dcterms:modified xsi:type="dcterms:W3CDTF">2024-04-11T19:25:00Z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TF10002063</vt:lpwstr>
  </property>
</Properties>
</file>