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69" w:rsidRPr="00F4320E" w:rsidRDefault="00E36969" w:rsidP="008D76EF">
      <w:pPr>
        <w:jc w:val="center"/>
        <w:rPr>
          <w:b/>
          <w:bCs/>
        </w:rPr>
      </w:pPr>
      <w:bookmarkStart w:id="0" w:name="_GoBack"/>
      <w:bookmarkEnd w:id="0"/>
      <w:r w:rsidRPr="00F4320E">
        <w:rPr>
          <w:b/>
          <w:bCs/>
        </w:rPr>
        <w:t>Evidence of Exemplar Qualities Sheet</w:t>
      </w:r>
      <w:r w:rsidR="00722F33" w:rsidRPr="00F4320E">
        <w:rPr>
          <w:b/>
          <w:bCs/>
        </w:rPr>
        <w:t xml:space="preserve"> </w:t>
      </w:r>
      <w:r w:rsidR="003764D3" w:rsidRPr="00F4320E">
        <w:rPr>
          <w:b/>
          <w:bCs/>
        </w:rPr>
        <w:t xml:space="preserve">for </w:t>
      </w:r>
      <w:r w:rsidR="00AF4573" w:rsidRPr="00F4320E">
        <w:rPr>
          <w:b/>
          <w:bCs/>
        </w:rPr>
        <w:t>ELA K-2</w:t>
      </w:r>
    </w:p>
    <w:p w:rsidR="00A94094" w:rsidRPr="00C83F7C" w:rsidRDefault="00A94094" w:rsidP="00A94094">
      <w:pPr>
        <w:rPr>
          <w:b/>
          <w:bCs/>
          <w:sz w:val="20"/>
          <w:szCs w:val="20"/>
        </w:rPr>
      </w:pPr>
      <w:r w:rsidRPr="00C83F7C">
        <w:rPr>
          <w:b/>
          <w:bCs/>
          <w:sz w:val="20"/>
          <w:szCs w:val="20"/>
        </w:rPr>
        <w:t xml:space="preserve">NOTE: </w:t>
      </w:r>
      <w:r w:rsidRPr="00C83F7C">
        <w:rPr>
          <w:sz w:val="20"/>
          <w:szCs w:val="20"/>
        </w:rPr>
        <w:t xml:space="preserve">The Teacher Growth Rubric (TGR) is NOT intended to be an evaluation tool for exemplar units. The TGR will serve as guide for our discussions. Our goal is that you leave understanding how to make informed instructional decisions concerning instructional units and understanding how these concepts fit together with the new observation </w:t>
      </w:r>
      <w:r w:rsidR="00C83F7C">
        <w:rPr>
          <w:sz w:val="20"/>
          <w:szCs w:val="20"/>
        </w:rPr>
        <w:t xml:space="preserve">and feedback </w:t>
      </w:r>
      <w:r w:rsidRPr="00C83F7C">
        <w:rPr>
          <w:sz w:val="20"/>
          <w:szCs w:val="20"/>
        </w:rPr>
        <w:t>system.</w:t>
      </w:r>
    </w:p>
    <w:tbl>
      <w:tblPr>
        <w:tblStyle w:val="TableGrid"/>
        <w:tblW w:w="9625" w:type="dxa"/>
        <w:tblLook w:val="04A0" w:firstRow="1" w:lastRow="0" w:firstColumn="1" w:lastColumn="0" w:noHBand="0" w:noVBand="1"/>
      </w:tblPr>
      <w:tblGrid>
        <w:gridCol w:w="5935"/>
        <w:gridCol w:w="3690"/>
      </w:tblGrid>
      <w:tr w:rsidR="008D76EF" w:rsidRPr="00F4320E" w:rsidTr="003A6C86">
        <w:trPr>
          <w:trHeight w:val="1440"/>
        </w:trPr>
        <w:tc>
          <w:tcPr>
            <w:tcW w:w="5935" w:type="dxa"/>
          </w:tcPr>
          <w:p w:rsidR="008D76EF" w:rsidRPr="00F4320E" w:rsidRDefault="008D76EF" w:rsidP="007E5645">
            <w:pPr>
              <w:rPr>
                <w:rFonts w:cstheme="majorBidi"/>
                <w:b/>
              </w:rPr>
            </w:pPr>
            <w:r w:rsidRPr="00F4320E">
              <w:rPr>
                <w:rFonts w:cstheme="majorBidi"/>
                <w:b/>
              </w:rPr>
              <w:t>Domain I: Lesson Designs</w:t>
            </w:r>
          </w:p>
          <w:p w:rsidR="008D76EF" w:rsidRPr="00F4320E" w:rsidRDefault="008D76EF" w:rsidP="007E5645">
            <w:pPr>
              <w:pStyle w:val="ListParagraph"/>
              <w:numPr>
                <w:ilvl w:val="0"/>
                <w:numId w:val="5"/>
              </w:numPr>
              <w:rPr>
                <w:rFonts w:cstheme="majorBidi"/>
                <w:b/>
              </w:rPr>
            </w:pPr>
            <w:r w:rsidRPr="00F4320E">
              <w:rPr>
                <w:rFonts w:cstheme="majorBidi"/>
                <w:b/>
              </w:rPr>
              <w:t xml:space="preserve">Lessons are aligned to standards and represent a coherent sequence of learning. </w:t>
            </w:r>
          </w:p>
          <w:p w:rsidR="008D76EF" w:rsidRPr="00F4320E" w:rsidRDefault="008D76EF" w:rsidP="007E5645">
            <w:pPr>
              <w:pStyle w:val="ListParagraph"/>
              <w:numPr>
                <w:ilvl w:val="0"/>
                <w:numId w:val="5"/>
              </w:numPr>
              <w:rPr>
                <w:rFonts w:cstheme="majorBidi"/>
                <w:b/>
              </w:rPr>
            </w:pPr>
            <w:r w:rsidRPr="00F4320E">
              <w:rPr>
                <w:rFonts w:cstheme="majorBidi"/>
                <w:b/>
              </w:rPr>
              <w:t>Lesson have high levels of learning for all students</w:t>
            </w:r>
          </w:p>
          <w:p w:rsidR="008D76EF" w:rsidRPr="00F4320E" w:rsidRDefault="00CA49CA" w:rsidP="00435EFC">
            <w:pPr>
              <w:rPr>
                <w:rFonts w:cstheme="majorBidi"/>
                <w:b/>
              </w:rPr>
            </w:pPr>
            <w:r w:rsidRPr="00F4320E">
              <w:rPr>
                <w:rFonts w:cstheme="majorBidi"/>
              </w:rPr>
              <w:t xml:space="preserve"> </w:t>
            </w:r>
            <w:r w:rsidR="008D76EF" w:rsidRPr="00F4320E">
              <w:rPr>
                <w:rFonts w:cstheme="majorBidi"/>
              </w:rPr>
              <w:t>(Note: Most evidence of Domain I can be seen in lessons/units. Some evidence may be exhibited during instruction or pre-/post-conferences.)</w:t>
            </w:r>
          </w:p>
        </w:tc>
        <w:tc>
          <w:tcPr>
            <w:tcW w:w="3690" w:type="dxa"/>
            <w:vAlign w:val="center"/>
          </w:tcPr>
          <w:p w:rsidR="008D76EF" w:rsidRPr="00F4320E" w:rsidRDefault="008D76EF" w:rsidP="000E6E00">
            <w:pPr>
              <w:jc w:val="center"/>
              <w:rPr>
                <w:rFonts w:cstheme="majorBidi"/>
                <w:b/>
                <w:bCs/>
              </w:rPr>
            </w:pPr>
            <w:r w:rsidRPr="00F4320E">
              <w:rPr>
                <w:rFonts w:cstheme="majorBidi"/>
                <w:b/>
                <w:bCs/>
              </w:rPr>
              <w:t>Evidence from the Unit/Lesson</w:t>
            </w:r>
          </w:p>
        </w:tc>
      </w:tr>
      <w:tr w:rsidR="007E5645" w:rsidRPr="00F4320E" w:rsidTr="00C83F7C">
        <w:trPr>
          <w:trHeight w:val="1250"/>
        </w:trPr>
        <w:tc>
          <w:tcPr>
            <w:tcW w:w="5935" w:type="dxa"/>
          </w:tcPr>
          <w:p w:rsidR="007E5645" w:rsidRPr="00F4320E" w:rsidRDefault="007E5645" w:rsidP="007E5645">
            <w:pPr>
              <w:pStyle w:val="BodyText"/>
              <w:tabs>
                <w:tab w:val="left" w:pos="1675"/>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Targets a set of grade-level MS CCRS/Literacy standards</w:t>
            </w:r>
            <w:r w:rsidR="00631ABB" w:rsidRPr="00F4320E">
              <w:rPr>
                <w:rFonts w:asciiTheme="minorHAnsi" w:hAnsiTheme="minorHAnsi" w:cstheme="majorBidi"/>
                <w:sz w:val="22"/>
                <w:szCs w:val="22"/>
              </w:rPr>
              <w:t xml:space="preserve"> </w:t>
            </w:r>
          </w:p>
        </w:tc>
        <w:tc>
          <w:tcPr>
            <w:tcW w:w="3690" w:type="dxa"/>
          </w:tcPr>
          <w:p w:rsidR="007E5645" w:rsidRPr="00F4320E" w:rsidRDefault="007E5645" w:rsidP="000A185B">
            <w:pPr>
              <w:jc w:val="center"/>
              <w:rPr>
                <w:rFonts w:cstheme="majorBidi"/>
              </w:rPr>
            </w:pPr>
          </w:p>
        </w:tc>
      </w:tr>
      <w:tr w:rsidR="007E5645" w:rsidRPr="00F4320E" w:rsidTr="003A6C86">
        <w:trPr>
          <w:trHeight w:val="1440"/>
        </w:trPr>
        <w:tc>
          <w:tcPr>
            <w:tcW w:w="5935" w:type="dxa"/>
          </w:tcPr>
          <w:p w:rsidR="00E36969" w:rsidRPr="00F4320E" w:rsidRDefault="00E36969" w:rsidP="00E36969">
            <w:pPr>
              <w:rPr>
                <w:rFonts w:eastAsia="Times New Roman" w:cs="Arial"/>
                <w:lang w:eastAsia="zh-TW"/>
              </w:rPr>
            </w:pPr>
            <w:r w:rsidRPr="00F4320E">
              <w:rPr>
                <w:rFonts w:eastAsia="Times New Roman" w:cs="Arial"/>
                <w:lang w:eastAsia="zh-TW"/>
              </w:rPr>
              <w:t xml:space="preserve">Instructional lessons, text, and activities are part of a coherent and focused sequence of learning with meaningful connections made to previous and future learning </w:t>
            </w:r>
          </w:p>
          <w:p w:rsidR="00631ABB" w:rsidRPr="00F4320E" w:rsidRDefault="00631ABB" w:rsidP="009A0B68">
            <w:pPr>
              <w:pStyle w:val="BodyText"/>
              <w:tabs>
                <w:tab w:val="left" w:pos="1675"/>
              </w:tabs>
              <w:spacing w:before="0"/>
              <w:ind w:left="0" w:firstLine="0"/>
              <w:rPr>
                <w:rFonts w:asciiTheme="minorHAnsi" w:hAnsiTheme="minorHAnsi" w:cstheme="majorBidi"/>
                <w:sz w:val="22"/>
                <w:szCs w:val="22"/>
              </w:rPr>
            </w:pPr>
          </w:p>
        </w:tc>
        <w:tc>
          <w:tcPr>
            <w:tcW w:w="3690" w:type="dxa"/>
          </w:tcPr>
          <w:p w:rsidR="007E5645" w:rsidRPr="00F4320E" w:rsidRDefault="007E5645" w:rsidP="000A185B">
            <w:pPr>
              <w:jc w:val="center"/>
              <w:rPr>
                <w:rFonts w:cstheme="majorBidi"/>
              </w:rPr>
            </w:pPr>
          </w:p>
        </w:tc>
      </w:tr>
      <w:tr w:rsidR="000E6E00" w:rsidRPr="00F4320E" w:rsidTr="003A6C86">
        <w:trPr>
          <w:trHeight w:val="1440"/>
        </w:trPr>
        <w:tc>
          <w:tcPr>
            <w:tcW w:w="5935" w:type="dxa"/>
          </w:tcPr>
          <w:p w:rsidR="00631ABB" w:rsidRPr="00F4320E" w:rsidRDefault="00631ABB" w:rsidP="00631ABB">
            <w:pPr>
              <w:rPr>
                <w:rFonts w:eastAsia="Times New Roman" w:cs="Arial"/>
                <w:lang w:eastAsia="zh-TW"/>
              </w:rPr>
            </w:pPr>
            <w:r w:rsidRPr="00F4320E">
              <w:rPr>
                <w:rFonts w:eastAsia="Times New Roman" w:cs="Arial"/>
                <w:lang w:eastAsia="zh-TW"/>
              </w:rPr>
              <w:t>Implements assignments and activities that contain the following components:</w:t>
            </w:r>
          </w:p>
          <w:p w:rsidR="00370B77" w:rsidRPr="00F4320E" w:rsidRDefault="00F4320E" w:rsidP="00370B77">
            <w:pPr>
              <w:pStyle w:val="BodyText"/>
              <w:tabs>
                <w:tab w:val="left" w:pos="1675"/>
              </w:tabs>
              <w:ind w:left="1080"/>
              <w:rPr>
                <w:rFonts w:asciiTheme="minorHAnsi" w:eastAsia="Times New Roman" w:hAnsiTheme="minorHAnsi" w:cs="Arial"/>
                <w:sz w:val="22"/>
                <w:szCs w:val="22"/>
                <w:lang w:eastAsia="zh-TW"/>
              </w:rPr>
            </w:pPr>
            <w:r w:rsidRPr="00F4320E">
              <w:rPr>
                <w:rFonts w:asciiTheme="minorHAnsi" w:eastAsia="Times New Roman" w:hAnsiTheme="minorHAnsi" w:cs="Arial"/>
                <w:sz w:val="22"/>
                <w:szCs w:val="22"/>
                <w:lang w:eastAsia="zh-TW"/>
              </w:rPr>
              <w:t>• A</w:t>
            </w:r>
            <w:r w:rsidR="00631ABB" w:rsidRPr="00F4320E">
              <w:rPr>
                <w:rFonts w:asciiTheme="minorHAnsi" w:eastAsia="Times New Roman" w:hAnsiTheme="minorHAnsi" w:cs="Arial"/>
                <w:sz w:val="22"/>
                <w:szCs w:val="22"/>
                <w:lang w:eastAsia="zh-TW"/>
              </w:rPr>
              <w:t xml:space="preserve">ppropriate scaffolding that effectively builds </w:t>
            </w:r>
          </w:p>
          <w:p w:rsidR="00370B77" w:rsidRPr="00F4320E" w:rsidRDefault="00631ABB" w:rsidP="00370B77">
            <w:pPr>
              <w:pStyle w:val="BodyText"/>
              <w:tabs>
                <w:tab w:val="left" w:pos="1675"/>
              </w:tabs>
              <w:ind w:left="1080"/>
              <w:rPr>
                <w:rFonts w:asciiTheme="minorHAnsi" w:eastAsia="Times New Roman" w:hAnsiTheme="minorHAnsi" w:cs="Arial"/>
                <w:sz w:val="22"/>
                <w:szCs w:val="22"/>
                <w:lang w:eastAsia="zh-TW"/>
              </w:rPr>
            </w:pPr>
            <w:r w:rsidRPr="00F4320E">
              <w:rPr>
                <w:rFonts w:asciiTheme="minorHAnsi" w:eastAsia="Times New Roman" w:hAnsiTheme="minorHAnsi" w:cs="Arial"/>
                <w:sz w:val="22"/>
                <w:szCs w:val="22"/>
                <w:lang w:eastAsia="zh-TW"/>
              </w:rPr>
              <w:t xml:space="preserve">student understanding </w:t>
            </w:r>
          </w:p>
          <w:p w:rsidR="00631ABB" w:rsidRPr="00F4320E" w:rsidRDefault="00F4320E" w:rsidP="00370B77">
            <w:pPr>
              <w:ind w:left="720"/>
              <w:rPr>
                <w:rFonts w:eastAsia="Times New Roman" w:cs="Arial"/>
                <w:lang w:eastAsia="zh-TW"/>
              </w:rPr>
            </w:pPr>
            <w:r w:rsidRPr="00F4320E">
              <w:rPr>
                <w:rFonts w:eastAsia="Times New Roman" w:cs="Arial"/>
                <w:lang w:eastAsia="zh-TW"/>
              </w:rPr>
              <w:t>• A</w:t>
            </w:r>
            <w:r w:rsidR="00631ABB" w:rsidRPr="00F4320E">
              <w:rPr>
                <w:rFonts w:eastAsia="Times New Roman" w:cs="Arial"/>
                <w:lang w:eastAsia="zh-TW"/>
              </w:rPr>
              <w:t xml:space="preserve">mple evidence that the teacher knows each student’s level and tracks each student’s progress toward mastery </w:t>
            </w:r>
          </w:p>
          <w:p w:rsidR="00631ABB" w:rsidRPr="00F4320E" w:rsidRDefault="00F4320E" w:rsidP="00631ABB">
            <w:pPr>
              <w:ind w:left="720"/>
              <w:rPr>
                <w:rFonts w:eastAsia="Times New Roman" w:cs="Arial"/>
                <w:lang w:eastAsia="zh-TW"/>
              </w:rPr>
            </w:pPr>
            <w:r w:rsidRPr="00F4320E">
              <w:rPr>
                <w:rFonts w:eastAsia="Times New Roman" w:cs="Arial"/>
                <w:lang w:eastAsia="zh-TW"/>
              </w:rPr>
              <w:t>• D</w:t>
            </w:r>
            <w:r w:rsidR="00631ABB" w:rsidRPr="00F4320E">
              <w:rPr>
                <w:rFonts w:eastAsia="Times New Roman" w:cs="Arial"/>
                <w:lang w:eastAsia="zh-TW"/>
              </w:rPr>
              <w:t xml:space="preserve">ifferentiation based on students’ abilities and learning styles </w:t>
            </w:r>
          </w:p>
          <w:p w:rsidR="00A976A9" w:rsidRPr="00F4320E" w:rsidRDefault="00A976A9" w:rsidP="00A976A9">
            <w:pPr>
              <w:pStyle w:val="BodyText"/>
              <w:numPr>
                <w:ilvl w:val="0"/>
                <w:numId w:val="7"/>
              </w:numPr>
              <w:tabs>
                <w:tab w:val="left" w:pos="1675"/>
              </w:tabs>
              <w:rPr>
                <w:rFonts w:asciiTheme="minorHAnsi" w:eastAsia="Times New Roman" w:hAnsiTheme="minorHAnsi" w:cs="Arial"/>
                <w:sz w:val="22"/>
                <w:szCs w:val="22"/>
                <w:lang w:eastAsia="zh-TW"/>
              </w:rPr>
            </w:pPr>
            <w:r w:rsidRPr="00F4320E">
              <w:rPr>
                <w:rFonts w:asciiTheme="minorHAnsi" w:hAnsiTheme="minorHAnsi" w:cstheme="majorBidi"/>
                <w:sz w:val="22"/>
                <w:szCs w:val="22"/>
              </w:rPr>
              <w:t>Integrates appropriate supports in reading, writing, listening and speaking for students who are ELL, have disabilities, or read well below the grade level text band</w:t>
            </w:r>
          </w:p>
          <w:p w:rsidR="00370B77" w:rsidRPr="00F4320E" w:rsidRDefault="00370B77" w:rsidP="00370B77">
            <w:pPr>
              <w:pStyle w:val="ListParagraph"/>
              <w:numPr>
                <w:ilvl w:val="0"/>
                <w:numId w:val="7"/>
              </w:numPr>
              <w:rPr>
                <w:rFonts w:eastAsia="Times New Roman" w:cs="Arial"/>
                <w:lang w:eastAsia="zh-TW"/>
              </w:rPr>
            </w:pPr>
            <w:r w:rsidRPr="00F4320E">
              <w:rPr>
                <w:rFonts w:eastAsia="Times New Roman" w:cs="Arial"/>
                <w:lang w:eastAsia="zh-TW"/>
              </w:rPr>
              <w:t>Provides extensions and/or more advanced text for students who read well above the grade level text band</w:t>
            </w:r>
          </w:p>
          <w:p w:rsidR="00631ABB" w:rsidRPr="00F4320E" w:rsidRDefault="00F4320E" w:rsidP="00631ABB">
            <w:pPr>
              <w:ind w:left="720"/>
              <w:rPr>
                <w:rFonts w:eastAsia="Times New Roman" w:cs="Arial"/>
                <w:lang w:eastAsia="zh-TW"/>
              </w:rPr>
            </w:pPr>
            <w:r w:rsidRPr="00F4320E">
              <w:rPr>
                <w:rFonts w:eastAsia="Times New Roman" w:cs="Arial"/>
                <w:lang w:eastAsia="zh-TW"/>
              </w:rPr>
              <w:t>• S</w:t>
            </w:r>
            <w:r w:rsidR="00631ABB" w:rsidRPr="00F4320E">
              <w:rPr>
                <w:rFonts w:eastAsia="Times New Roman" w:cs="Arial"/>
                <w:lang w:eastAsia="zh-TW"/>
              </w:rPr>
              <w:t xml:space="preserve">tudent-centered learning whenever appropriate </w:t>
            </w:r>
          </w:p>
          <w:p w:rsidR="00631ABB" w:rsidRPr="00F4320E" w:rsidRDefault="00F4320E" w:rsidP="00631ABB">
            <w:pPr>
              <w:ind w:left="720"/>
              <w:rPr>
                <w:rFonts w:eastAsia="Times New Roman" w:cs="Arial"/>
                <w:lang w:eastAsia="zh-TW"/>
              </w:rPr>
            </w:pPr>
            <w:r w:rsidRPr="00F4320E">
              <w:rPr>
                <w:rFonts w:eastAsia="Times New Roman" w:cs="Arial"/>
                <w:lang w:eastAsia="zh-TW"/>
              </w:rPr>
              <w:t>• R</w:t>
            </w:r>
            <w:r w:rsidR="00631ABB" w:rsidRPr="00F4320E">
              <w:rPr>
                <w:rFonts w:eastAsia="Times New Roman" w:cs="Arial"/>
                <w:lang w:eastAsia="zh-TW"/>
              </w:rPr>
              <w:t>elevant connections to students’ prior experiences or learning opportunities for students to choose challenging tasks and instructional materials</w:t>
            </w:r>
          </w:p>
          <w:p w:rsidR="000E6E00" w:rsidRPr="00F4320E" w:rsidRDefault="000E6E00" w:rsidP="00370B77">
            <w:pPr>
              <w:pStyle w:val="BodyText"/>
              <w:tabs>
                <w:tab w:val="left" w:pos="1675"/>
              </w:tabs>
              <w:spacing w:before="0"/>
              <w:ind w:left="0" w:firstLine="0"/>
              <w:rPr>
                <w:rFonts w:asciiTheme="minorHAnsi" w:hAnsiTheme="minorHAnsi" w:cstheme="majorBidi"/>
                <w:sz w:val="22"/>
                <w:szCs w:val="22"/>
              </w:rPr>
            </w:pPr>
          </w:p>
        </w:tc>
        <w:tc>
          <w:tcPr>
            <w:tcW w:w="3690" w:type="dxa"/>
          </w:tcPr>
          <w:p w:rsidR="000E6E00" w:rsidRPr="00F4320E" w:rsidRDefault="000E6E00" w:rsidP="000A185B">
            <w:pPr>
              <w:jc w:val="center"/>
              <w:rPr>
                <w:rFonts w:cstheme="majorBidi"/>
              </w:rPr>
            </w:pPr>
          </w:p>
        </w:tc>
      </w:tr>
      <w:tr w:rsidR="007E5645" w:rsidRPr="00F4320E" w:rsidTr="003A6C86">
        <w:trPr>
          <w:trHeight w:val="1440"/>
        </w:trPr>
        <w:tc>
          <w:tcPr>
            <w:tcW w:w="5935" w:type="dxa"/>
          </w:tcPr>
          <w:p w:rsidR="007E5645" w:rsidRPr="00F4320E" w:rsidRDefault="007E5645" w:rsidP="007E5645">
            <w:pPr>
              <w:pStyle w:val="BodyText"/>
              <w:tabs>
                <w:tab w:val="left" w:pos="1675"/>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lastRenderedPageBreak/>
              <w:t>Selects text(s) that measure within the grade-level text complexity band and are of sufficient quality and scope for the stated purpose</w:t>
            </w:r>
          </w:p>
        </w:tc>
        <w:tc>
          <w:tcPr>
            <w:tcW w:w="3690" w:type="dxa"/>
          </w:tcPr>
          <w:p w:rsidR="007E5645" w:rsidRPr="00F4320E" w:rsidRDefault="007E5645" w:rsidP="000A185B">
            <w:pPr>
              <w:jc w:val="center"/>
              <w:rPr>
                <w:rFonts w:cstheme="majorBidi"/>
              </w:rPr>
            </w:pPr>
          </w:p>
        </w:tc>
      </w:tr>
      <w:tr w:rsidR="00247F16" w:rsidRPr="00F4320E" w:rsidTr="003A6C86">
        <w:trPr>
          <w:trHeight w:val="1440"/>
        </w:trPr>
        <w:tc>
          <w:tcPr>
            <w:tcW w:w="5935" w:type="dxa"/>
          </w:tcPr>
          <w:p w:rsidR="00247F16" w:rsidRPr="00F4320E" w:rsidRDefault="00247F16" w:rsidP="007E5645">
            <w:pPr>
              <w:pStyle w:val="BodyText"/>
              <w:tabs>
                <w:tab w:val="left" w:pos="1675"/>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 xml:space="preserve">Makes reading text(s) closely (including read </w:t>
            </w:r>
            <w:proofErr w:type="spellStart"/>
            <w:r w:rsidRPr="00F4320E">
              <w:rPr>
                <w:rFonts w:asciiTheme="minorHAnsi" w:hAnsiTheme="minorHAnsi" w:cstheme="majorBidi"/>
                <w:sz w:val="22"/>
                <w:szCs w:val="22"/>
              </w:rPr>
              <w:t>alouds</w:t>
            </w:r>
            <w:proofErr w:type="spellEnd"/>
            <w:r w:rsidRPr="00F4320E">
              <w:rPr>
                <w:rFonts w:asciiTheme="minorHAnsi" w:hAnsiTheme="minorHAnsi" w:cstheme="majorBidi"/>
                <w:sz w:val="22"/>
                <w:szCs w:val="22"/>
              </w:rPr>
              <w:t>) a central focus of instruction and includes regular opportunities for students to ask and answer text-dependent questions.</w:t>
            </w:r>
          </w:p>
        </w:tc>
        <w:tc>
          <w:tcPr>
            <w:tcW w:w="3690" w:type="dxa"/>
          </w:tcPr>
          <w:p w:rsidR="00247F16" w:rsidRPr="00F4320E" w:rsidRDefault="00247F16" w:rsidP="000A185B">
            <w:pPr>
              <w:jc w:val="center"/>
              <w:rPr>
                <w:rFonts w:cstheme="majorBidi"/>
              </w:rPr>
            </w:pPr>
          </w:p>
        </w:tc>
      </w:tr>
      <w:tr w:rsidR="00247F16" w:rsidRPr="00F4320E" w:rsidTr="003A6C86">
        <w:trPr>
          <w:trHeight w:val="1440"/>
        </w:trPr>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247F16" w:rsidRPr="00F4320E">
              <w:trPr>
                <w:trHeight w:val="344"/>
              </w:trPr>
              <w:tc>
                <w:tcPr>
                  <w:tcW w:w="0" w:type="auto"/>
                </w:tcPr>
                <w:p w:rsidR="00247F16" w:rsidRPr="00F4320E" w:rsidRDefault="00247F16" w:rsidP="00F4320E">
                  <w:pPr>
                    <w:pStyle w:val="Default"/>
                    <w:rPr>
                      <w:sz w:val="22"/>
                      <w:szCs w:val="22"/>
                    </w:rPr>
                  </w:pPr>
                  <w:r w:rsidRPr="00F4320E">
                    <w:rPr>
                      <w:sz w:val="22"/>
                      <w:szCs w:val="22"/>
                    </w:rPr>
                    <w:t xml:space="preserve">Integrate reading, writing, speaking and listening so that students apply and synthesize advancing literacy skills. </w:t>
                  </w:r>
                </w:p>
                <w:p w:rsidR="00247F16" w:rsidRPr="00F4320E" w:rsidRDefault="00247F16" w:rsidP="00247F16">
                  <w:pPr>
                    <w:pStyle w:val="Default"/>
                    <w:rPr>
                      <w:sz w:val="20"/>
                      <w:szCs w:val="20"/>
                    </w:rPr>
                  </w:pPr>
                </w:p>
              </w:tc>
            </w:tr>
          </w:tbl>
          <w:p w:rsidR="00247F16" w:rsidRPr="00F4320E" w:rsidRDefault="00247F16" w:rsidP="007E5645">
            <w:pPr>
              <w:pStyle w:val="BodyText"/>
              <w:tabs>
                <w:tab w:val="left" w:pos="1675"/>
              </w:tabs>
              <w:spacing w:before="0"/>
              <w:ind w:left="0" w:firstLine="0"/>
              <w:rPr>
                <w:rFonts w:asciiTheme="minorHAnsi" w:hAnsiTheme="minorHAnsi" w:cstheme="majorBidi"/>
                <w:sz w:val="22"/>
                <w:szCs w:val="22"/>
              </w:rPr>
            </w:pPr>
          </w:p>
        </w:tc>
        <w:tc>
          <w:tcPr>
            <w:tcW w:w="3690" w:type="dxa"/>
          </w:tcPr>
          <w:p w:rsidR="00247F16" w:rsidRPr="00F4320E" w:rsidRDefault="00247F16" w:rsidP="000A185B">
            <w:pPr>
              <w:jc w:val="center"/>
              <w:rPr>
                <w:rFonts w:cstheme="majorBidi"/>
              </w:rPr>
            </w:pPr>
          </w:p>
        </w:tc>
      </w:tr>
      <w:tr w:rsidR="007E5645" w:rsidRPr="00F4320E" w:rsidTr="003A6C86">
        <w:trPr>
          <w:trHeight w:val="1440"/>
        </w:trPr>
        <w:tc>
          <w:tcPr>
            <w:tcW w:w="5935" w:type="dxa"/>
          </w:tcPr>
          <w:p w:rsidR="007E5645" w:rsidRPr="00F4320E" w:rsidRDefault="00E36969" w:rsidP="00E36969">
            <w:pPr>
              <w:pStyle w:val="BodyText"/>
              <w:tabs>
                <w:tab w:val="left" w:pos="1675"/>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 xml:space="preserve">Provides </w:t>
            </w:r>
            <w:r w:rsidR="007E5645" w:rsidRPr="00F4320E">
              <w:rPr>
                <w:rFonts w:asciiTheme="minorHAnsi" w:hAnsiTheme="minorHAnsi" w:cstheme="majorBidi"/>
                <w:sz w:val="22"/>
                <w:szCs w:val="22"/>
              </w:rPr>
              <w:t xml:space="preserve">guiding questions and prompts from text that require students to gather evidence from </w:t>
            </w:r>
            <w:r w:rsidRPr="00F4320E">
              <w:rPr>
                <w:rFonts w:asciiTheme="minorHAnsi" w:hAnsiTheme="minorHAnsi" w:cstheme="majorBidi"/>
                <w:sz w:val="22"/>
                <w:szCs w:val="22"/>
              </w:rPr>
              <w:t xml:space="preserve">a </w:t>
            </w:r>
            <w:r w:rsidR="007E5645" w:rsidRPr="00F4320E">
              <w:rPr>
                <w:rFonts w:asciiTheme="minorHAnsi" w:hAnsiTheme="minorHAnsi" w:cstheme="majorBidi"/>
                <w:sz w:val="22"/>
                <w:szCs w:val="22"/>
              </w:rPr>
              <w:t>text when responding orally or in writing</w:t>
            </w:r>
          </w:p>
        </w:tc>
        <w:tc>
          <w:tcPr>
            <w:tcW w:w="3690" w:type="dxa"/>
          </w:tcPr>
          <w:p w:rsidR="007E5645" w:rsidRPr="00F4320E" w:rsidRDefault="007E5645" w:rsidP="007E5645">
            <w:pPr>
              <w:jc w:val="center"/>
              <w:rPr>
                <w:rFonts w:cstheme="majorBidi"/>
              </w:rPr>
            </w:pPr>
          </w:p>
        </w:tc>
      </w:tr>
      <w:tr w:rsidR="008D76EF" w:rsidRPr="00F4320E" w:rsidTr="003A6C86">
        <w:trPr>
          <w:trHeight w:val="1440"/>
        </w:trPr>
        <w:tc>
          <w:tcPr>
            <w:tcW w:w="5935" w:type="dxa"/>
          </w:tcPr>
          <w:p w:rsidR="00370B77" w:rsidRPr="00F4320E" w:rsidRDefault="008D76EF" w:rsidP="00370B77">
            <w:pPr>
              <w:pStyle w:val="BodyText"/>
              <w:tabs>
                <w:tab w:val="left" w:pos="1675"/>
              </w:tabs>
              <w:ind w:left="360"/>
              <w:rPr>
                <w:rFonts w:asciiTheme="minorHAnsi" w:hAnsiTheme="minorHAnsi" w:cstheme="majorBidi"/>
                <w:sz w:val="22"/>
                <w:szCs w:val="22"/>
              </w:rPr>
            </w:pPr>
            <w:r w:rsidRPr="00F4320E">
              <w:rPr>
                <w:rFonts w:asciiTheme="minorHAnsi" w:hAnsiTheme="minorHAnsi" w:cstheme="majorBidi"/>
                <w:sz w:val="22"/>
                <w:szCs w:val="22"/>
              </w:rPr>
              <w:t>Focuses on building students’ academic vocabulary</w:t>
            </w:r>
            <w:r w:rsidR="00370B77" w:rsidRPr="00F4320E">
              <w:rPr>
                <w:rFonts w:asciiTheme="minorHAnsi" w:hAnsiTheme="minorHAnsi" w:cstheme="majorBidi"/>
                <w:sz w:val="22"/>
                <w:szCs w:val="22"/>
              </w:rPr>
              <w:t xml:space="preserve">, </w:t>
            </w:r>
          </w:p>
          <w:p w:rsidR="00370B77" w:rsidRPr="00F4320E" w:rsidRDefault="00370B77" w:rsidP="00370B77">
            <w:pPr>
              <w:pStyle w:val="BodyText"/>
              <w:tabs>
                <w:tab w:val="left" w:pos="1675"/>
              </w:tabs>
              <w:ind w:left="360"/>
              <w:rPr>
                <w:rFonts w:asciiTheme="minorHAnsi" w:hAnsiTheme="minorHAnsi" w:cstheme="majorBidi"/>
                <w:sz w:val="22"/>
                <w:szCs w:val="22"/>
              </w:rPr>
            </w:pPr>
            <w:r w:rsidRPr="00F4320E">
              <w:rPr>
                <w:rFonts w:asciiTheme="minorHAnsi" w:hAnsiTheme="minorHAnsi" w:cstheme="majorBidi"/>
                <w:sz w:val="22"/>
                <w:szCs w:val="22"/>
              </w:rPr>
              <w:t xml:space="preserve">language, and writing skills </w:t>
            </w:r>
            <w:r w:rsidR="008D76EF" w:rsidRPr="00F4320E">
              <w:rPr>
                <w:rFonts w:asciiTheme="minorHAnsi" w:hAnsiTheme="minorHAnsi" w:cstheme="majorBidi"/>
                <w:sz w:val="22"/>
                <w:szCs w:val="22"/>
              </w:rPr>
              <w:t xml:space="preserve">in context </w:t>
            </w:r>
            <w:r w:rsidRPr="00F4320E">
              <w:rPr>
                <w:rFonts w:asciiTheme="minorHAnsi" w:hAnsiTheme="minorHAnsi" w:cstheme="majorBidi"/>
                <w:sz w:val="22"/>
                <w:szCs w:val="22"/>
              </w:rPr>
              <w:t xml:space="preserve">throughout </w:t>
            </w:r>
          </w:p>
          <w:p w:rsidR="008D76EF" w:rsidRPr="00F4320E" w:rsidRDefault="008D76EF" w:rsidP="00370B77">
            <w:pPr>
              <w:pStyle w:val="BodyText"/>
              <w:tabs>
                <w:tab w:val="left" w:pos="1675"/>
              </w:tabs>
              <w:ind w:left="360"/>
              <w:rPr>
                <w:rFonts w:asciiTheme="minorHAnsi" w:hAnsiTheme="minorHAnsi" w:cstheme="majorBidi"/>
                <w:sz w:val="22"/>
                <w:szCs w:val="22"/>
              </w:rPr>
            </w:pPr>
            <w:r w:rsidRPr="00F4320E">
              <w:rPr>
                <w:rFonts w:asciiTheme="minorHAnsi" w:hAnsiTheme="minorHAnsi" w:cstheme="majorBidi"/>
                <w:sz w:val="22"/>
                <w:szCs w:val="22"/>
              </w:rPr>
              <w:t>instruction</w:t>
            </w:r>
          </w:p>
        </w:tc>
        <w:tc>
          <w:tcPr>
            <w:tcW w:w="3690" w:type="dxa"/>
          </w:tcPr>
          <w:p w:rsidR="008D76EF" w:rsidRPr="00F4320E" w:rsidRDefault="008D76EF" w:rsidP="007E5645">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675"/>
              </w:tabs>
              <w:ind w:left="360"/>
              <w:rPr>
                <w:rFonts w:asciiTheme="minorHAnsi" w:hAnsiTheme="minorHAnsi" w:cstheme="majorBidi"/>
                <w:sz w:val="22"/>
                <w:szCs w:val="22"/>
              </w:rPr>
            </w:pPr>
            <w:r w:rsidRPr="00F4320E">
              <w:rPr>
                <w:rFonts w:asciiTheme="minorHAnsi" w:hAnsiTheme="minorHAnsi" w:cstheme="majorBidi"/>
                <w:sz w:val="22"/>
                <w:szCs w:val="22"/>
              </w:rPr>
              <w:t>Within a collection of grade-level units</w:t>
            </w:r>
            <w:r w:rsidR="00370B77" w:rsidRPr="00F4320E">
              <w:rPr>
                <w:rFonts w:asciiTheme="minorHAnsi" w:hAnsiTheme="minorHAnsi" w:cstheme="majorBidi"/>
                <w:sz w:val="22"/>
                <w:szCs w:val="22"/>
              </w:rPr>
              <w:t>,</w:t>
            </w:r>
            <w:r w:rsidRPr="00F4320E">
              <w:rPr>
                <w:rFonts w:asciiTheme="minorHAnsi" w:hAnsiTheme="minorHAnsi" w:cstheme="majorBidi"/>
                <w:sz w:val="22"/>
                <w:szCs w:val="22"/>
              </w:rPr>
              <w:t xml:space="preserve"> a balance of</w:t>
            </w:r>
          </w:p>
          <w:p w:rsidR="008D76EF" w:rsidRPr="00F4320E" w:rsidRDefault="008D76EF" w:rsidP="008D76EF">
            <w:pPr>
              <w:pStyle w:val="BodyText"/>
              <w:tabs>
                <w:tab w:val="left" w:pos="1675"/>
              </w:tabs>
              <w:ind w:left="360"/>
              <w:rPr>
                <w:rFonts w:asciiTheme="minorHAnsi" w:hAnsiTheme="minorHAnsi" w:cstheme="majorBidi"/>
                <w:sz w:val="22"/>
                <w:szCs w:val="22"/>
              </w:rPr>
            </w:pPr>
            <w:r w:rsidRPr="00F4320E">
              <w:rPr>
                <w:rFonts w:asciiTheme="minorHAnsi" w:hAnsiTheme="minorHAnsi" w:cstheme="majorBidi"/>
                <w:sz w:val="22"/>
                <w:szCs w:val="22"/>
              </w:rPr>
              <w:t xml:space="preserve">informational and literary texts is included according to </w:t>
            </w:r>
          </w:p>
          <w:p w:rsidR="00370B77" w:rsidRPr="00F4320E" w:rsidRDefault="008D76EF" w:rsidP="00370B77">
            <w:pPr>
              <w:pStyle w:val="BodyText"/>
              <w:tabs>
                <w:tab w:val="left" w:pos="1675"/>
              </w:tabs>
              <w:ind w:left="360"/>
              <w:rPr>
                <w:rFonts w:asciiTheme="minorHAnsi" w:hAnsiTheme="minorHAnsi" w:cstheme="majorBidi"/>
                <w:sz w:val="22"/>
                <w:szCs w:val="22"/>
              </w:rPr>
            </w:pPr>
            <w:r w:rsidRPr="00F4320E">
              <w:rPr>
                <w:rFonts w:asciiTheme="minorHAnsi" w:hAnsiTheme="minorHAnsi" w:cstheme="majorBidi"/>
                <w:sz w:val="22"/>
                <w:szCs w:val="22"/>
              </w:rPr>
              <w:t xml:space="preserve">guidelines in </w:t>
            </w:r>
            <w:r w:rsidR="00370B77" w:rsidRPr="00F4320E">
              <w:rPr>
                <w:rFonts w:asciiTheme="minorHAnsi" w:hAnsiTheme="minorHAnsi" w:cstheme="majorBidi"/>
                <w:sz w:val="22"/>
                <w:szCs w:val="22"/>
              </w:rPr>
              <w:t>MS CCRS</w:t>
            </w:r>
          </w:p>
          <w:p w:rsidR="008D76EF" w:rsidRPr="00F4320E" w:rsidRDefault="008D76EF" w:rsidP="008D76EF">
            <w:pPr>
              <w:pStyle w:val="BodyText"/>
              <w:tabs>
                <w:tab w:val="left" w:pos="1675"/>
              </w:tabs>
              <w:ind w:left="360"/>
              <w:rPr>
                <w:rFonts w:asciiTheme="minorHAnsi" w:hAnsiTheme="minorHAnsi" w:cstheme="majorBidi"/>
                <w:sz w:val="22"/>
                <w:szCs w:val="22"/>
              </w:rPr>
            </w:pPr>
          </w:p>
        </w:tc>
        <w:tc>
          <w:tcPr>
            <w:tcW w:w="3690" w:type="dxa"/>
          </w:tcPr>
          <w:p w:rsidR="008D76EF" w:rsidRPr="00F4320E" w:rsidRDefault="008D76EF" w:rsidP="007E5645">
            <w:pPr>
              <w:jc w:val="center"/>
              <w:rPr>
                <w:rFonts w:cstheme="majorBidi"/>
              </w:rPr>
            </w:pPr>
          </w:p>
        </w:tc>
      </w:tr>
      <w:tr w:rsidR="00370B77" w:rsidRPr="00F4320E" w:rsidTr="003A6C86">
        <w:trPr>
          <w:trHeight w:val="1440"/>
        </w:trPr>
        <w:tc>
          <w:tcPr>
            <w:tcW w:w="5935" w:type="dxa"/>
          </w:tcPr>
          <w:p w:rsidR="00370B77" w:rsidRPr="00F4320E" w:rsidRDefault="00370B77" w:rsidP="00370B77">
            <w:pPr>
              <w:pStyle w:val="BodyText"/>
              <w:tabs>
                <w:tab w:val="left" w:pos="1675"/>
              </w:tabs>
              <w:ind w:left="360"/>
              <w:rPr>
                <w:rFonts w:asciiTheme="minorHAnsi" w:hAnsiTheme="minorHAnsi" w:cstheme="majorBidi"/>
                <w:sz w:val="22"/>
                <w:szCs w:val="22"/>
              </w:rPr>
            </w:pPr>
            <w:r w:rsidRPr="00F4320E">
              <w:rPr>
                <w:rFonts w:asciiTheme="minorHAnsi" w:hAnsiTheme="minorHAnsi" w:cstheme="majorBidi"/>
                <w:sz w:val="22"/>
                <w:szCs w:val="22"/>
              </w:rPr>
              <w:t>Includes a balance of on-demand and process writing (e.g.,</w:t>
            </w:r>
          </w:p>
          <w:p w:rsidR="00370B77" w:rsidRPr="00F4320E" w:rsidRDefault="00370B77" w:rsidP="00370B77">
            <w:pPr>
              <w:pStyle w:val="BodyText"/>
              <w:tabs>
                <w:tab w:val="left" w:pos="1675"/>
              </w:tabs>
              <w:ind w:left="360"/>
              <w:rPr>
                <w:rFonts w:asciiTheme="minorHAnsi" w:hAnsiTheme="minorHAnsi" w:cstheme="majorBidi"/>
                <w:sz w:val="22"/>
                <w:szCs w:val="22"/>
              </w:rPr>
            </w:pPr>
            <w:r w:rsidRPr="00F4320E">
              <w:rPr>
                <w:rFonts w:asciiTheme="minorHAnsi" w:hAnsiTheme="minorHAnsi" w:cstheme="majorBidi"/>
                <w:sz w:val="22"/>
                <w:szCs w:val="22"/>
              </w:rPr>
              <w:t>multiple drafts and revisions over time) and short, focused</w:t>
            </w:r>
          </w:p>
          <w:p w:rsidR="00370B77" w:rsidRPr="00F4320E" w:rsidRDefault="00370B77" w:rsidP="00370B77">
            <w:pPr>
              <w:pStyle w:val="BodyText"/>
              <w:tabs>
                <w:tab w:val="left" w:pos="1675"/>
              </w:tabs>
              <w:ind w:left="0" w:firstLine="0"/>
              <w:rPr>
                <w:rFonts w:asciiTheme="minorHAnsi" w:hAnsiTheme="minorHAnsi" w:cstheme="majorBidi"/>
                <w:sz w:val="22"/>
                <w:szCs w:val="22"/>
              </w:rPr>
            </w:pPr>
            <w:r w:rsidRPr="00F4320E">
              <w:rPr>
                <w:rFonts w:asciiTheme="minorHAnsi" w:hAnsiTheme="minorHAnsi" w:cstheme="majorBidi"/>
                <w:sz w:val="22"/>
                <w:szCs w:val="22"/>
              </w:rPr>
              <w:t>research projects, incorporating digital texts where appropriate.</w:t>
            </w:r>
          </w:p>
        </w:tc>
        <w:tc>
          <w:tcPr>
            <w:tcW w:w="3690" w:type="dxa"/>
          </w:tcPr>
          <w:p w:rsidR="00370B77" w:rsidRPr="00F4320E" w:rsidRDefault="00370B77" w:rsidP="007E5645">
            <w:pPr>
              <w:jc w:val="center"/>
              <w:rPr>
                <w:rFonts w:cstheme="majorBidi"/>
              </w:rPr>
            </w:pPr>
          </w:p>
        </w:tc>
      </w:tr>
      <w:tr w:rsidR="00722F33" w:rsidRPr="00F4320E" w:rsidTr="003A6C86">
        <w:trPr>
          <w:trHeight w:val="1440"/>
        </w:trPr>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722F33" w:rsidRPr="00F4320E">
              <w:trPr>
                <w:trHeight w:val="466"/>
              </w:trPr>
              <w:tc>
                <w:tcPr>
                  <w:tcW w:w="0" w:type="auto"/>
                </w:tcPr>
                <w:p w:rsidR="00722F33" w:rsidRPr="00F4320E" w:rsidRDefault="00722F33" w:rsidP="00722F33">
                  <w:pPr>
                    <w:pStyle w:val="Default"/>
                    <w:rPr>
                      <w:sz w:val="22"/>
                      <w:szCs w:val="22"/>
                    </w:rPr>
                  </w:pPr>
                  <w:r w:rsidRPr="00F4320E">
                    <w:rPr>
                      <w:sz w:val="22"/>
                      <w:szCs w:val="22"/>
                    </w:rPr>
                    <w:t xml:space="preserve">Emphasize the explicit, systematic development of foundational literacy skills (concepts of print, phonological awareness, the alphabetic principle, high frequency sight words, and phonics). </w:t>
                  </w:r>
                </w:p>
                <w:p w:rsidR="00722F33" w:rsidRPr="00F4320E" w:rsidRDefault="00722F33" w:rsidP="00722F33">
                  <w:pPr>
                    <w:pStyle w:val="Default"/>
                    <w:rPr>
                      <w:sz w:val="20"/>
                      <w:szCs w:val="20"/>
                    </w:rPr>
                  </w:pPr>
                </w:p>
              </w:tc>
            </w:tr>
          </w:tbl>
          <w:p w:rsidR="00722F33" w:rsidRPr="00F4320E" w:rsidRDefault="00722F33" w:rsidP="00370B77">
            <w:pPr>
              <w:pStyle w:val="BodyText"/>
              <w:tabs>
                <w:tab w:val="left" w:pos="1675"/>
              </w:tabs>
              <w:ind w:left="360"/>
              <w:rPr>
                <w:rFonts w:asciiTheme="minorHAnsi" w:hAnsiTheme="minorHAnsi" w:cstheme="majorBidi"/>
                <w:sz w:val="22"/>
                <w:szCs w:val="22"/>
              </w:rPr>
            </w:pPr>
          </w:p>
        </w:tc>
        <w:tc>
          <w:tcPr>
            <w:tcW w:w="3690" w:type="dxa"/>
          </w:tcPr>
          <w:p w:rsidR="00722F33" w:rsidRPr="00F4320E" w:rsidRDefault="00722F33" w:rsidP="007E5645">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675"/>
              </w:tabs>
              <w:spacing w:before="0"/>
              <w:ind w:left="0" w:firstLine="0"/>
              <w:rPr>
                <w:rFonts w:asciiTheme="minorHAnsi" w:hAnsiTheme="minorHAnsi" w:cstheme="majorBidi"/>
                <w:b/>
                <w:sz w:val="22"/>
                <w:szCs w:val="22"/>
              </w:rPr>
            </w:pPr>
            <w:r w:rsidRPr="00F4320E">
              <w:rPr>
                <w:rFonts w:asciiTheme="minorHAnsi" w:hAnsiTheme="minorHAnsi" w:cstheme="majorBidi"/>
                <w:b/>
                <w:sz w:val="22"/>
                <w:szCs w:val="22"/>
              </w:rPr>
              <w:lastRenderedPageBreak/>
              <w:t xml:space="preserve">Domain II: Student Understanding </w:t>
            </w:r>
          </w:p>
          <w:p w:rsidR="008D76EF" w:rsidRPr="00F4320E" w:rsidRDefault="008D76EF" w:rsidP="008D76EF">
            <w:pPr>
              <w:pStyle w:val="BodyText"/>
              <w:numPr>
                <w:ilvl w:val="0"/>
                <w:numId w:val="1"/>
              </w:numPr>
              <w:tabs>
                <w:tab w:val="left" w:pos="1675"/>
              </w:tabs>
              <w:spacing w:before="0"/>
              <w:rPr>
                <w:rFonts w:asciiTheme="minorHAnsi" w:hAnsiTheme="minorHAnsi" w:cstheme="majorBidi"/>
                <w:b/>
                <w:sz w:val="22"/>
                <w:szCs w:val="22"/>
              </w:rPr>
            </w:pPr>
            <w:r w:rsidRPr="00F4320E">
              <w:rPr>
                <w:rFonts w:asciiTheme="minorHAnsi" w:hAnsiTheme="minorHAnsi" w:cstheme="majorBidi"/>
                <w:b/>
                <w:sz w:val="22"/>
                <w:szCs w:val="22"/>
              </w:rPr>
              <w:t xml:space="preserve">Assists student in taking responsibility for learning and monitors student learning. </w:t>
            </w:r>
          </w:p>
          <w:p w:rsidR="008D76EF" w:rsidRPr="00F4320E" w:rsidRDefault="008D76EF" w:rsidP="008D76EF">
            <w:pPr>
              <w:pStyle w:val="BodyText"/>
              <w:numPr>
                <w:ilvl w:val="0"/>
                <w:numId w:val="1"/>
              </w:numPr>
              <w:tabs>
                <w:tab w:val="left" w:pos="1675"/>
              </w:tabs>
              <w:spacing w:before="0"/>
              <w:rPr>
                <w:rFonts w:asciiTheme="minorHAnsi" w:hAnsiTheme="minorHAnsi" w:cstheme="majorBidi"/>
                <w:sz w:val="22"/>
                <w:szCs w:val="22"/>
              </w:rPr>
            </w:pPr>
            <w:r w:rsidRPr="00F4320E">
              <w:rPr>
                <w:rFonts w:asciiTheme="minorHAnsi" w:hAnsiTheme="minorHAnsi" w:cstheme="majorBidi"/>
                <w:b/>
                <w:sz w:val="22"/>
                <w:szCs w:val="22"/>
              </w:rPr>
              <w:t xml:space="preserve">Provides multiple ways for students to make meaning of content. </w:t>
            </w:r>
          </w:p>
          <w:p w:rsidR="008D76EF" w:rsidRPr="00F4320E" w:rsidRDefault="008D76EF" w:rsidP="008D76EF">
            <w:pPr>
              <w:pStyle w:val="BodyText"/>
              <w:tabs>
                <w:tab w:val="left" w:pos="1675"/>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(Note: Some evidence of Domain II can be seen in lessons/units. More evidence should be exhibited during instruction.)</w:t>
            </w:r>
          </w:p>
        </w:tc>
        <w:tc>
          <w:tcPr>
            <w:tcW w:w="3690" w:type="dxa"/>
            <w:vAlign w:val="center"/>
          </w:tcPr>
          <w:p w:rsidR="008D76EF" w:rsidRPr="00F4320E" w:rsidRDefault="008D76EF" w:rsidP="008D76EF">
            <w:pPr>
              <w:jc w:val="center"/>
              <w:rPr>
                <w:rFonts w:cstheme="majorBidi"/>
                <w:b/>
                <w:bCs/>
              </w:rPr>
            </w:pPr>
            <w:r w:rsidRPr="00F4320E">
              <w:rPr>
                <w:rFonts w:cstheme="majorBidi"/>
                <w:b/>
                <w:bCs/>
              </w:rPr>
              <w:t>Evidence from the Unit/Lesson</w:t>
            </w:r>
          </w:p>
        </w:tc>
      </w:tr>
      <w:tr w:rsidR="008D76EF" w:rsidRPr="00F4320E" w:rsidTr="003A6C86">
        <w:trPr>
          <w:trHeight w:val="1440"/>
        </w:trPr>
        <w:tc>
          <w:tcPr>
            <w:tcW w:w="5935" w:type="dxa"/>
          </w:tcPr>
          <w:p w:rsidR="008D76EF" w:rsidRPr="00F4320E" w:rsidRDefault="008D76EF" w:rsidP="008D76EF">
            <w:pPr>
              <w:pStyle w:val="BodyText"/>
              <w:tabs>
                <w:tab w:val="left" w:pos="1675"/>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Includes a clear and explicit purpose for instruction</w:t>
            </w:r>
          </w:p>
          <w:p w:rsidR="008D76EF" w:rsidRPr="00F4320E" w:rsidRDefault="008D76EF" w:rsidP="008D76EF">
            <w:pPr>
              <w:rPr>
                <w:rFonts w:eastAsia="Times New Roman" w:cs="Arial"/>
                <w:lang w:eastAsia="zh-TW"/>
              </w:rPr>
            </w:pPr>
            <w:r w:rsidRPr="00F4320E">
              <w:rPr>
                <w:rFonts w:eastAsia="Times New Roman" w:cs="Arial"/>
                <w:lang w:eastAsia="zh-TW"/>
              </w:rPr>
              <w:t>AND provides opportunities for students to demonstrate connections between what they are learning and how it advances their personal and professional goals/interests</w:t>
            </w:r>
          </w:p>
          <w:p w:rsidR="008D76EF" w:rsidRPr="00F4320E" w:rsidRDefault="008D76EF" w:rsidP="008D76EF">
            <w:pPr>
              <w:pStyle w:val="BodyText"/>
              <w:tabs>
                <w:tab w:val="left" w:pos="1675"/>
              </w:tabs>
              <w:spacing w:before="0"/>
              <w:ind w:left="0" w:firstLine="0"/>
              <w:rPr>
                <w:rFonts w:asciiTheme="minorHAnsi" w:hAnsiTheme="minorHAnsi" w:cstheme="majorBidi"/>
                <w:sz w:val="22"/>
                <w:szCs w:val="22"/>
              </w:rPr>
            </w:pP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738"/>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Cultivates student interest and engagement in extensive reading, writing and speaking about texts.</w:t>
            </w:r>
          </w:p>
          <w:p w:rsidR="008D76EF" w:rsidRPr="00F4320E" w:rsidRDefault="008D76EF" w:rsidP="008D76EF">
            <w:pPr>
              <w:pStyle w:val="BodyText"/>
              <w:tabs>
                <w:tab w:val="left" w:pos="1675"/>
              </w:tabs>
              <w:spacing w:before="0"/>
              <w:ind w:left="0" w:firstLine="0"/>
              <w:rPr>
                <w:rFonts w:asciiTheme="minorHAnsi" w:hAnsiTheme="minorHAnsi" w:cstheme="majorBidi"/>
                <w:b/>
                <w:sz w:val="22"/>
                <w:szCs w:val="22"/>
              </w:rPr>
            </w:pP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738"/>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 xml:space="preserve">Provides opportunities for students to connect content to real world </w:t>
            </w: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738"/>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Varies explanations and provides multiple representations of concepts</w:t>
            </w: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D701B2">
            <w:pPr>
              <w:pStyle w:val="BodyText"/>
              <w:tabs>
                <w:tab w:val="left" w:pos="1738"/>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Elicits direct, observable evidence (from varied modes of assessment, including a range of pre-, formative, summative and self-assessment measures) of the degree to which a student can independently demonstrate t</w:t>
            </w:r>
            <w:r w:rsidR="00D701B2">
              <w:rPr>
                <w:rFonts w:asciiTheme="minorHAnsi" w:hAnsiTheme="minorHAnsi" w:cstheme="majorBidi"/>
                <w:sz w:val="22"/>
                <w:szCs w:val="22"/>
              </w:rPr>
              <w:t>he major targeted grade-level MS CR</w:t>
            </w:r>
            <w:r w:rsidRPr="00F4320E">
              <w:rPr>
                <w:rFonts w:asciiTheme="minorHAnsi" w:hAnsiTheme="minorHAnsi" w:cstheme="majorBidi"/>
                <w:sz w:val="22"/>
                <w:szCs w:val="22"/>
              </w:rPr>
              <w:t>SS</w:t>
            </w:r>
            <w:r w:rsidR="00D701B2">
              <w:rPr>
                <w:rFonts w:asciiTheme="minorHAnsi" w:hAnsiTheme="minorHAnsi" w:cstheme="majorBidi"/>
                <w:sz w:val="22"/>
                <w:szCs w:val="22"/>
              </w:rPr>
              <w:t xml:space="preserve"> for ELA</w:t>
            </w:r>
            <w:r w:rsidRPr="00F4320E">
              <w:rPr>
                <w:rFonts w:asciiTheme="minorHAnsi" w:hAnsiTheme="minorHAnsi" w:cstheme="majorBidi"/>
                <w:sz w:val="22"/>
                <w:szCs w:val="22"/>
              </w:rPr>
              <w:t xml:space="preserve"> with appropriately complex text(s)</w:t>
            </w:r>
          </w:p>
          <w:p w:rsidR="008D76EF" w:rsidRPr="00F4320E" w:rsidRDefault="008D76EF" w:rsidP="008D76EF">
            <w:pPr>
              <w:pStyle w:val="BodyText"/>
              <w:tabs>
                <w:tab w:val="left" w:pos="1738"/>
              </w:tabs>
              <w:spacing w:before="0"/>
              <w:ind w:left="0" w:firstLine="0"/>
              <w:rPr>
                <w:rFonts w:asciiTheme="minorHAnsi" w:hAnsiTheme="minorHAnsi" w:cstheme="majorBidi"/>
                <w:sz w:val="22"/>
                <w:szCs w:val="22"/>
              </w:rPr>
            </w:pPr>
          </w:p>
        </w:tc>
        <w:tc>
          <w:tcPr>
            <w:tcW w:w="3690" w:type="dxa"/>
          </w:tcPr>
          <w:p w:rsidR="008D76EF" w:rsidRPr="00F4320E" w:rsidRDefault="008D76EF" w:rsidP="008D76EF">
            <w:pPr>
              <w:jc w:val="center"/>
              <w:rPr>
                <w:rFonts w:cstheme="majorBidi"/>
              </w:rPr>
            </w:pPr>
            <w:r w:rsidRPr="00F4320E">
              <w:rPr>
                <w:rFonts w:cstheme="majorBidi"/>
              </w:rPr>
              <w:t xml:space="preserve"> </w:t>
            </w:r>
          </w:p>
        </w:tc>
      </w:tr>
      <w:tr w:rsidR="008D76EF" w:rsidRPr="00F4320E" w:rsidTr="003A6C86">
        <w:trPr>
          <w:trHeight w:val="1440"/>
        </w:trPr>
        <w:tc>
          <w:tcPr>
            <w:tcW w:w="5935" w:type="dxa"/>
          </w:tcPr>
          <w:p w:rsidR="008D76EF" w:rsidRPr="00F4320E" w:rsidRDefault="008D76EF" w:rsidP="008D76EF">
            <w:pPr>
              <w:pStyle w:val="BodyText"/>
              <w:tabs>
                <w:tab w:val="left" w:pos="1738"/>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 xml:space="preserve">Includes aligned rubrics or assessment guidelines that provide sufficient guidance for interpreting student performance </w:t>
            </w:r>
          </w:p>
          <w:p w:rsidR="008D76EF" w:rsidRPr="00F4320E" w:rsidRDefault="008D76EF" w:rsidP="008D76EF">
            <w:pPr>
              <w:pStyle w:val="BodyText"/>
              <w:tabs>
                <w:tab w:val="left" w:pos="1738"/>
              </w:tabs>
              <w:spacing w:before="0"/>
              <w:ind w:left="0" w:firstLine="0"/>
              <w:rPr>
                <w:rFonts w:asciiTheme="minorHAnsi" w:hAnsiTheme="minorHAnsi" w:cstheme="majorBidi"/>
                <w:sz w:val="22"/>
                <w:szCs w:val="22"/>
              </w:rPr>
            </w:pP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rPr>
                <w:rFonts w:eastAsia="Times New Roman" w:cs="Arial"/>
                <w:lang w:eastAsia="zh-TW"/>
              </w:rPr>
            </w:pPr>
            <w:r w:rsidRPr="00F4320E">
              <w:rPr>
                <w:rFonts w:eastAsia="Times New Roman" w:cs="Arial"/>
                <w:lang w:eastAsia="zh-TW"/>
              </w:rPr>
              <w:t>Creates opportunities for students to apply clear, specific, actionable and timely teacher and peer feedback to improve performance and accelerate learning</w:t>
            </w: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tbl>
            <w:tblPr>
              <w:tblW w:w="0" w:type="auto"/>
              <w:tblBorders>
                <w:top w:val="nil"/>
                <w:left w:val="nil"/>
                <w:bottom w:val="nil"/>
                <w:right w:val="nil"/>
              </w:tblBorders>
              <w:tblLook w:val="0000" w:firstRow="0" w:lastRow="0" w:firstColumn="0" w:lastColumn="0" w:noHBand="0" w:noVBand="0"/>
            </w:tblPr>
            <w:tblGrid>
              <w:gridCol w:w="5719"/>
            </w:tblGrid>
            <w:tr w:rsidR="00247F16" w:rsidRPr="00F4320E">
              <w:trPr>
                <w:trHeight w:val="711"/>
              </w:trPr>
              <w:tc>
                <w:tcPr>
                  <w:tcW w:w="0" w:type="auto"/>
                </w:tcPr>
                <w:p w:rsidR="00247F16" w:rsidRPr="00F4320E" w:rsidRDefault="00247F16" w:rsidP="00247F16">
                  <w:pPr>
                    <w:autoSpaceDE w:val="0"/>
                    <w:autoSpaceDN w:val="0"/>
                    <w:adjustRightInd w:val="0"/>
                    <w:spacing w:after="0" w:line="240" w:lineRule="auto"/>
                    <w:rPr>
                      <w:rFonts w:ascii="Calibri" w:eastAsiaTheme="minorEastAsia" w:hAnsi="Calibri" w:cs="Calibri"/>
                      <w:color w:val="000000"/>
                      <w:lang w:eastAsia="zh-TW"/>
                    </w:rPr>
                  </w:pPr>
                  <w:r w:rsidRPr="00F4320E">
                    <w:rPr>
                      <w:rFonts w:ascii="Calibri" w:eastAsiaTheme="minorEastAsia" w:hAnsi="Calibri" w:cs="Calibri"/>
                      <w:color w:val="000000"/>
                      <w:lang w:eastAsia="zh-TW"/>
                    </w:rPr>
                    <w:lastRenderedPageBreak/>
                    <w:t xml:space="preserve">Facilitates rich text-based discussions and writing through specific, thought-provoking questions about common texts (including read </w:t>
                  </w:r>
                  <w:proofErr w:type="spellStart"/>
                  <w:r w:rsidRPr="00F4320E">
                    <w:rPr>
                      <w:rFonts w:ascii="Calibri" w:eastAsiaTheme="minorEastAsia" w:hAnsi="Calibri" w:cs="Calibri"/>
                      <w:color w:val="000000"/>
                      <w:lang w:eastAsia="zh-TW"/>
                    </w:rPr>
                    <w:t>alouds</w:t>
                  </w:r>
                  <w:proofErr w:type="spellEnd"/>
                  <w:r w:rsidRPr="00F4320E">
                    <w:rPr>
                      <w:rFonts w:ascii="Calibri" w:eastAsiaTheme="minorEastAsia" w:hAnsi="Calibri" w:cs="Calibri"/>
                      <w:color w:val="000000"/>
                      <w:lang w:eastAsia="zh-TW"/>
                    </w:rPr>
                    <w:t xml:space="preserve"> and, when applicable, illustrations, audio/video and other media). </w:t>
                  </w:r>
                </w:p>
                <w:p w:rsidR="00247F16" w:rsidRPr="00F4320E" w:rsidRDefault="00247F16" w:rsidP="00247F16">
                  <w:pPr>
                    <w:autoSpaceDE w:val="0"/>
                    <w:autoSpaceDN w:val="0"/>
                    <w:adjustRightInd w:val="0"/>
                    <w:spacing w:after="0" w:line="240" w:lineRule="auto"/>
                    <w:rPr>
                      <w:rFonts w:ascii="Calibri" w:eastAsiaTheme="minorEastAsia" w:hAnsi="Calibri" w:cs="Calibri"/>
                      <w:color w:val="000000"/>
                      <w:sz w:val="20"/>
                      <w:szCs w:val="20"/>
                      <w:lang w:eastAsia="zh-TW"/>
                    </w:rPr>
                  </w:pPr>
                </w:p>
              </w:tc>
            </w:tr>
          </w:tbl>
          <w:p w:rsidR="008D76EF" w:rsidRPr="00F4320E" w:rsidRDefault="008D76EF" w:rsidP="00247F16">
            <w:pPr>
              <w:pStyle w:val="BodyText"/>
              <w:tabs>
                <w:tab w:val="left" w:pos="1847"/>
              </w:tabs>
              <w:spacing w:before="0"/>
              <w:ind w:left="0" w:firstLine="0"/>
              <w:rPr>
                <w:rFonts w:asciiTheme="minorHAnsi" w:hAnsiTheme="minorHAnsi" w:cstheme="majorBidi"/>
                <w:sz w:val="22"/>
                <w:szCs w:val="22"/>
              </w:rPr>
            </w:pP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675"/>
              </w:tabs>
              <w:snapToGrid w:val="0"/>
              <w:spacing w:before="0"/>
              <w:ind w:left="0" w:firstLine="0"/>
              <w:rPr>
                <w:rFonts w:asciiTheme="minorHAnsi" w:hAnsiTheme="minorHAnsi" w:cstheme="majorBidi"/>
                <w:sz w:val="22"/>
                <w:szCs w:val="22"/>
              </w:rPr>
            </w:pPr>
            <w:r w:rsidRPr="00F4320E">
              <w:rPr>
                <w:rFonts w:asciiTheme="minorHAnsi" w:hAnsiTheme="minorHAnsi" w:cstheme="majorBidi"/>
                <w:sz w:val="22"/>
                <w:szCs w:val="22"/>
              </w:rPr>
              <w:t>Coherently selects texts that enables students to build content knowledge and their understanding of reading and writing in social studies, the arts, science or technical subjects (Note: This selection of texts should reflect collaboration with other school staff within and across disciplines.)</w:t>
            </w:r>
          </w:p>
          <w:p w:rsidR="008D76EF" w:rsidRPr="00F4320E" w:rsidRDefault="008D76EF" w:rsidP="008D76EF">
            <w:pPr>
              <w:pStyle w:val="BodyText"/>
              <w:tabs>
                <w:tab w:val="left" w:pos="1675"/>
              </w:tabs>
              <w:spacing w:before="0"/>
              <w:ind w:left="0" w:firstLine="0"/>
              <w:rPr>
                <w:rFonts w:asciiTheme="minorHAnsi" w:hAnsiTheme="minorHAnsi" w:cstheme="majorBidi"/>
                <w:sz w:val="22"/>
                <w:szCs w:val="22"/>
              </w:rPr>
            </w:pP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847"/>
              </w:tabs>
              <w:spacing w:before="0"/>
              <w:ind w:left="0" w:firstLine="0"/>
              <w:rPr>
                <w:rFonts w:asciiTheme="minorHAnsi" w:hAnsiTheme="minorHAnsi" w:cstheme="majorBidi"/>
                <w:b/>
                <w:bCs/>
                <w:sz w:val="22"/>
                <w:szCs w:val="22"/>
              </w:rPr>
            </w:pPr>
            <w:r w:rsidRPr="00F4320E">
              <w:rPr>
                <w:rFonts w:asciiTheme="minorHAnsi" w:hAnsiTheme="minorHAnsi" w:cstheme="majorBidi"/>
                <w:b/>
                <w:bCs/>
                <w:sz w:val="22"/>
                <w:szCs w:val="22"/>
              </w:rPr>
              <w:t xml:space="preserve">Domain III: Culture and Learning Environment </w:t>
            </w:r>
          </w:p>
          <w:p w:rsidR="008D76EF" w:rsidRPr="00F4320E" w:rsidRDefault="008D76EF" w:rsidP="008D76EF">
            <w:pPr>
              <w:pStyle w:val="BodyText"/>
              <w:numPr>
                <w:ilvl w:val="0"/>
                <w:numId w:val="2"/>
              </w:numPr>
              <w:tabs>
                <w:tab w:val="left" w:pos="1847"/>
              </w:tabs>
              <w:spacing w:before="0"/>
              <w:rPr>
                <w:rFonts w:asciiTheme="minorHAnsi" w:hAnsiTheme="minorHAnsi" w:cstheme="majorBidi"/>
                <w:b/>
                <w:bCs/>
                <w:sz w:val="22"/>
                <w:szCs w:val="22"/>
              </w:rPr>
            </w:pPr>
            <w:r w:rsidRPr="00F4320E">
              <w:rPr>
                <w:rFonts w:asciiTheme="minorHAnsi" w:hAnsiTheme="minorHAnsi" w:cstheme="majorBidi"/>
                <w:b/>
                <w:bCs/>
                <w:sz w:val="22"/>
                <w:szCs w:val="22"/>
              </w:rPr>
              <w:t xml:space="preserve">Manages learning focus classroom community. </w:t>
            </w:r>
          </w:p>
          <w:p w:rsidR="008D76EF" w:rsidRPr="00F4320E" w:rsidRDefault="008D76EF" w:rsidP="008D76EF">
            <w:pPr>
              <w:pStyle w:val="BodyText"/>
              <w:numPr>
                <w:ilvl w:val="0"/>
                <w:numId w:val="2"/>
              </w:numPr>
              <w:tabs>
                <w:tab w:val="left" w:pos="1847"/>
              </w:tabs>
              <w:spacing w:before="0"/>
              <w:rPr>
                <w:rFonts w:asciiTheme="minorHAnsi" w:hAnsiTheme="minorHAnsi" w:cstheme="majorBidi"/>
                <w:b/>
                <w:bCs/>
                <w:sz w:val="22"/>
                <w:szCs w:val="22"/>
              </w:rPr>
            </w:pPr>
            <w:r w:rsidRPr="00F4320E">
              <w:rPr>
                <w:rFonts w:asciiTheme="minorHAnsi" w:hAnsiTheme="minorHAnsi" w:cstheme="majorBidi"/>
                <w:b/>
                <w:bCs/>
                <w:sz w:val="22"/>
                <w:szCs w:val="22"/>
              </w:rPr>
              <w:t xml:space="preserve">Manages classroom space, time, and resources (including technology when appropriate) effectively for student learning. </w:t>
            </w:r>
          </w:p>
          <w:p w:rsidR="008D76EF" w:rsidRPr="00F4320E" w:rsidRDefault="008D76EF" w:rsidP="008D76EF">
            <w:pPr>
              <w:pStyle w:val="BodyText"/>
              <w:numPr>
                <w:ilvl w:val="0"/>
                <w:numId w:val="2"/>
              </w:numPr>
              <w:tabs>
                <w:tab w:val="left" w:pos="1847"/>
              </w:tabs>
              <w:spacing w:before="0"/>
              <w:rPr>
                <w:rFonts w:asciiTheme="minorHAnsi" w:hAnsiTheme="minorHAnsi" w:cstheme="majorBidi"/>
                <w:sz w:val="22"/>
                <w:szCs w:val="22"/>
              </w:rPr>
            </w:pPr>
            <w:r w:rsidRPr="00F4320E">
              <w:rPr>
                <w:rFonts w:asciiTheme="minorHAnsi" w:hAnsiTheme="minorHAnsi" w:cstheme="majorBidi"/>
                <w:b/>
                <w:bCs/>
                <w:sz w:val="22"/>
                <w:szCs w:val="22"/>
              </w:rPr>
              <w:t>Creates and maintains a classroom of respect for all students.</w:t>
            </w:r>
            <w:r w:rsidRPr="00F4320E">
              <w:rPr>
                <w:rFonts w:asciiTheme="minorHAnsi" w:hAnsiTheme="minorHAnsi" w:cstheme="majorBidi"/>
                <w:sz w:val="22"/>
                <w:szCs w:val="22"/>
              </w:rPr>
              <w:t xml:space="preserve"> </w:t>
            </w:r>
          </w:p>
          <w:p w:rsidR="008D76EF" w:rsidRPr="00F4320E" w:rsidRDefault="008D76EF" w:rsidP="008D76EF">
            <w:pPr>
              <w:pStyle w:val="BodyText"/>
              <w:tabs>
                <w:tab w:val="left" w:pos="1847"/>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(Note: Only some evidence of Domain III can be seen in lessons/units. Most evidence should be exhibited during instruction.)</w:t>
            </w:r>
          </w:p>
        </w:tc>
        <w:tc>
          <w:tcPr>
            <w:tcW w:w="3690" w:type="dxa"/>
            <w:vAlign w:val="center"/>
          </w:tcPr>
          <w:p w:rsidR="008D76EF" w:rsidRPr="00F4320E" w:rsidRDefault="008D76EF" w:rsidP="008D76EF">
            <w:pPr>
              <w:jc w:val="center"/>
              <w:rPr>
                <w:rFonts w:cstheme="majorBidi"/>
                <w:b/>
                <w:bCs/>
              </w:rPr>
            </w:pPr>
            <w:r w:rsidRPr="00F4320E">
              <w:rPr>
                <w:rFonts w:cstheme="majorBidi"/>
                <w:b/>
                <w:bCs/>
              </w:rPr>
              <w:t>Evidence from the Unit/Lesson</w:t>
            </w:r>
          </w:p>
        </w:tc>
      </w:tr>
      <w:tr w:rsidR="008D76EF" w:rsidRPr="00F4320E" w:rsidTr="003A6C86">
        <w:trPr>
          <w:trHeight w:val="1440"/>
        </w:trPr>
        <w:tc>
          <w:tcPr>
            <w:tcW w:w="5935" w:type="dxa"/>
          </w:tcPr>
          <w:p w:rsidR="008D76EF" w:rsidRPr="00F4320E" w:rsidRDefault="002E4869" w:rsidP="008D76EF">
            <w:pPr>
              <w:pStyle w:val="BodyText"/>
              <w:tabs>
                <w:tab w:val="left" w:pos="1847"/>
              </w:tabs>
              <w:spacing w:before="0"/>
              <w:ind w:left="0" w:firstLine="0"/>
              <w:rPr>
                <w:rFonts w:asciiTheme="minorHAnsi" w:hAnsiTheme="minorHAnsi" w:cstheme="majorBidi"/>
                <w:sz w:val="22"/>
                <w:szCs w:val="22"/>
              </w:rPr>
            </w:pPr>
            <w:r>
              <w:rPr>
                <w:rFonts w:asciiTheme="minorHAnsi" w:hAnsiTheme="minorHAnsi" w:cstheme="majorBidi"/>
                <w:sz w:val="22"/>
                <w:szCs w:val="22"/>
              </w:rPr>
              <w:t>I</w:t>
            </w:r>
            <w:r w:rsidR="00320779" w:rsidRPr="00F4320E">
              <w:rPr>
                <w:rFonts w:asciiTheme="minorHAnsi" w:hAnsiTheme="minorHAnsi" w:cstheme="majorBidi"/>
                <w:sz w:val="22"/>
                <w:szCs w:val="22"/>
              </w:rPr>
              <w:t>ntentionally c</w:t>
            </w:r>
            <w:r w:rsidR="008D76EF" w:rsidRPr="00F4320E">
              <w:rPr>
                <w:rFonts w:asciiTheme="minorHAnsi" w:hAnsiTheme="minorHAnsi" w:cstheme="majorBidi"/>
                <w:sz w:val="22"/>
                <w:szCs w:val="22"/>
              </w:rPr>
              <w:t>ultivates student interest and engagement in reading, writing and speaking about texts</w:t>
            </w:r>
          </w:p>
        </w:tc>
        <w:tc>
          <w:tcPr>
            <w:tcW w:w="3690" w:type="dxa"/>
          </w:tcPr>
          <w:p w:rsidR="008D76EF" w:rsidRPr="00F4320E" w:rsidRDefault="008D76EF" w:rsidP="008D76EF">
            <w:pPr>
              <w:jc w:val="center"/>
              <w:rPr>
                <w:rFonts w:cstheme="majorBidi"/>
              </w:rPr>
            </w:pPr>
          </w:p>
        </w:tc>
      </w:tr>
      <w:tr w:rsidR="00247F16" w:rsidRPr="00F4320E" w:rsidTr="003A6C86">
        <w:trPr>
          <w:trHeight w:val="1440"/>
        </w:trPr>
        <w:tc>
          <w:tcPr>
            <w:tcW w:w="5935" w:type="dxa"/>
          </w:tcPr>
          <w:p w:rsidR="00247F16" w:rsidRPr="00F4320E" w:rsidRDefault="00247F16" w:rsidP="008D76EF">
            <w:pPr>
              <w:pStyle w:val="BodyText"/>
              <w:tabs>
                <w:tab w:val="left" w:pos="1847"/>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 xml:space="preserve">Focuses on sections of rich text(s) (including read </w:t>
            </w:r>
            <w:proofErr w:type="spellStart"/>
            <w:r w:rsidRPr="00F4320E">
              <w:rPr>
                <w:rFonts w:asciiTheme="minorHAnsi" w:hAnsiTheme="minorHAnsi" w:cstheme="majorBidi"/>
                <w:sz w:val="22"/>
                <w:szCs w:val="22"/>
              </w:rPr>
              <w:t>alouds</w:t>
            </w:r>
            <w:proofErr w:type="spellEnd"/>
            <w:r w:rsidRPr="00F4320E">
              <w:rPr>
                <w:rFonts w:asciiTheme="minorHAnsi" w:hAnsiTheme="minorHAnsi" w:cstheme="majorBidi"/>
                <w:sz w:val="22"/>
                <w:szCs w:val="22"/>
              </w:rPr>
              <w:t>) that present the greatest challenge; provides discussion questions and other supports to promote student engagement, understanding and progress toward independence.</w:t>
            </w:r>
          </w:p>
        </w:tc>
        <w:tc>
          <w:tcPr>
            <w:tcW w:w="3690" w:type="dxa"/>
          </w:tcPr>
          <w:p w:rsidR="00247F16" w:rsidRPr="00F4320E" w:rsidRDefault="00247F16"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847"/>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Provides all students with multiple opportunities to engage with text of appropriate complexity for the grade level; includes appropriate scaffolding so that students directly experience the complexity of the text</w:t>
            </w: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847"/>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t>Indicates how students are accountable for independent reading based on student choice and interest to build stamina, confidence and motivation (may be more applicable across the year or several units)</w:t>
            </w: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847"/>
              </w:tabs>
              <w:spacing w:before="0"/>
              <w:ind w:left="0" w:firstLine="0"/>
              <w:rPr>
                <w:rFonts w:asciiTheme="minorHAnsi" w:hAnsiTheme="minorHAnsi" w:cstheme="majorBidi"/>
                <w:sz w:val="22"/>
                <w:szCs w:val="22"/>
              </w:rPr>
            </w:pPr>
            <w:r w:rsidRPr="00F4320E">
              <w:rPr>
                <w:rFonts w:asciiTheme="minorHAnsi" w:hAnsiTheme="minorHAnsi" w:cstheme="majorBidi"/>
                <w:sz w:val="22"/>
                <w:szCs w:val="22"/>
              </w:rPr>
              <w:lastRenderedPageBreak/>
              <w:t>Uses technology and media to deepen learning and draw attention to evidence and texts as appropriate</w:t>
            </w:r>
          </w:p>
        </w:tc>
        <w:tc>
          <w:tcPr>
            <w:tcW w:w="3690" w:type="dxa"/>
          </w:tcPr>
          <w:p w:rsidR="008D76EF" w:rsidRPr="00F4320E" w:rsidRDefault="008D76EF" w:rsidP="008D76EF">
            <w:pPr>
              <w:jc w:val="center"/>
              <w:rPr>
                <w:rFonts w:cstheme="majorBidi"/>
              </w:rPr>
            </w:pPr>
          </w:p>
        </w:tc>
      </w:tr>
      <w:tr w:rsidR="008D76EF" w:rsidRPr="00F4320E" w:rsidTr="003A6C86">
        <w:trPr>
          <w:trHeight w:val="1440"/>
        </w:trPr>
        <w:tc>
          <w:tcPr>
            <w:tcW w:w="5935" w:type="dxa"/>
          </w:tcPr>
          <w:p w:rsidR="008D76EF" w:rsidRPr="00F4320E" w:rsidRDefault="008D76EF" w:rsidP="008D76EF">
            <w:pPr>
              <w:pStyle w:val="BodyText"/>
              <w:tabs>
                <w:tab w:val="left" w:pos="1847"/>
              </w:tabs>
              <w:spacing w:before="0"/>
              <w:ind w:left="0" w:firstLine="0"/>
              <w:rPr>
                <w:rFonts w:asciiTheme="minorHAnsi" w:hAnsiTheme="minorHAnsi" w:cstheme="majorBidi"/>
                <w:b/>
                <w:bCs/>
                <w:sz w:val="22"/>
                <w:szCs w:val="22"/>
              </w:rPr>
            </w:pPr>
            <w:r w:rsidRPr="00F4320E">
              <w:rPr>
                <w:rFonts w:asciiTheme="minorHAnsi" w:hAnsiTheme="minorHAnsi" w:cstheme="majorBidi"/>
                <w:b/>
                <w:bCs/>
                <w:sz w:val="22"/>
                <w:szCs w:val="22"/>
              </w:rPr>
              <w:t xml:space="preserve">Domain IV: Professional Responsibility </w:t>
            </w:r>
          </w:p>
          <w:p w:rsidR="008D76EF" w:rsidRPr="00F4320E" w:rsidRDefault="008D76EF" w:rsidP="008D76EF">
            <w:pPr>
              <w:pStyle w:val="BodyText"/>
              <w:numPr>
                <w:ilvl w:val="0"/>
                <w:numId w:val="6"/>
              </w:numPr>
              <w:tabs>
                <w:tab w:val="left" w:pos="1847"/>
              </w:tabs>
              <w:spacing w:before="0"/>
              <w:rPr>
                <w:rFonts w:asciiTheme="minorHAnsi" w:hAnsiTheme="minorHAnsi" w:cstheme="majorBidi"/>
                <w:b/>
                <w:bCs/>
                <w:sz w:val="22"/>
                <w:szCs w:val="22"/>
              </w:rPr>
            </w:pPr>
            <w:r w:rsidRPr="00F4320E">
              <w:rPr>
                <w:rFonts w:asciiTheme="minorHAnsi" w:hAnsiTheme="minorHAnsi" w:cstheme="majorBidi"/>
                <w:b/>
                <w:bCs/>
                <w:sz w:val="22"/>
                <w:szCs w:val="22"/>
              </w:rPr>
              <w:t xml:space="preserve">Engages in professional learning </w:t>
            </w:r>
          </w:p>
          <w:p w:rsidR="008D76EF" w:rsidRPr="00F4320E" w:rsidRDefault="008D76EF" w:rsidP="008D76EF">
            <w:pPr>
              <w:pStyle w:val="BodyText"/>
              <w:numPr>
                <w:ilvl w:val="0"/>
                <w:numId w:val="6"/>
              </w:numPr>
              <w:tabs>
                <w:tab w:val="left" w:pos="1847"/>
              </w:tabs>
              <w:spacing w:before="0"/>
              <w:rPr>
                <w:rFonts w:asciiTheme="minorHAnsi" w:hAnsiTheme="minorHAnsi" w:cstheme="majorBidi"/>
                <w:sz w:val="22"/>
                <w:szCs w:val="22"/>
              </w:rPr>
            </w:pPr>
            <w:r w:rsidRPr="00F4320E">
              <w:rPr>
                <w:rFonts w:asciiTheme="minorHAnsi" w:hAnsiTheme="minorHAnsi" w:cstheme="majorBidi"/>
                <w:b/>
                <w:bCs/>
                <w:sz w:val="22"/>
                <w:szCs w:val="22"/>
              </w:rPr>
              <w:t>Establishes and maintains effective communication with families/guardians.</w:t>
            </w:r>
          </w:p>
          <w:p w:rsidR="008D76EF" w:rsidRPr="00F4320E" w:rsidRDefault="008D76EF" w:rsidP="008D76EF">
            <w:pPr>
              <w:pStyle w:val="BodyText"/>
              <w:tabs>
                <w:tab w:val="left" w:pos="1847"/>
              </w:tabs>
              <w:ind w:left="0" w:firstLine="0"/>
              <w:rPr>
                <w:rFonts w:asciiTheme="minorHAnsi" w:hAnsiTheme="minorHAnsi" w:cstheme="majorBidi"/>
                <w:sz w:val="22"/>
                <w:szCs w:val="22"/>
              </w:rPr>
            </w:pPr>
            <w:r w:rsidRPr="00F4320E">
              <w:rPr>
                <w:rFonts w:asciiTheme="minorHAnsi" w:hAnsiTheme="minorHAnsi" w:cstheme="majorBidi"/>
                <w:sz w:val="22"/>
                <w:szCs w:val="22"/>
              </w:rPr>
              <w:t>(Note: Evidence for Domain IV is best seen in documentation of communication, classroom observations, and pre- and post-observation conferences.)</w:t>
            </w:r>
          </w:p>
        </w:tc>
        <w:tc>
          <w:tcPr>
            <w:tcW w:w="3690" w:type="dxa"/>
            <w:vAlign w:val="center"/>
          </w:tcPr>
          <w:p w:rsidR="008D76EF" w:rsidRPr="00F4320E" w:rsidRDefault="008D76EF" w:rsidP="008D76EF">
            <w:pPr>
              <w:jc w:val="center"/>
              <w:rPr>
                <w:rFonts w:cstheme="majorBidi"/>
                <w:b/>
                <w:bCs/>
              </w:rPr>
            </w:pPr>
            <w:r w:rsidRPr="00F4320E">
              <w:rPr>
                <w:rFonts w:cstheme="majorBidi"/>
                <w:b/>
                <w:bCs/>
              </w:rPr>
              <w:t>Evidence from the Unit/Lesson</w:t>
            </w:r>
          </w:p>
        </w:tc>
      </w:tr>
      <w:tr w:rsidR="008D76EF" w:rsidRPr="000E6E00" w:rsidTr="003A6C86">
        <w:trPr>
          <w:trHeight w:val="1440"/>
        </w:trPr>
        <w:tc>
          <w:tcPr>
            <w:tcW w:w="5935" w:type="dxa"/>
          </w:tcPr>
          <w:p w:rsidR="008D76EF" w:rsidRPr="00DE6A57" w:rsidRDefault="008D76EF" w:rsidP="008D76EF">
            <w:pPr>
              <w:pStyle w:val="BodyText"/>
              <w:tabs>
                <w:tab w:val="left" w:pos="1847"/>
              </w:tabs>
              <w:ind w:left="0" w:firstLine="0"/>
              <w:rPr>
                <w:rFonts w:asciiTheme="minorHAnsi" w:hAnsiTheme="minorHAnsi" w:cstheme="majorBidi"/>
                <w:sz w:val="22"/>
                <w:szCs w:val="22"/>
              </w:rPr>
            </w:pPr>
            <w:r w:rsidRPr="00F4320E">
              <w:rPr>
                <w:rFonts w:asciiTheme="minorHAnsi" w:hAnsiTheme="minorHAnsi" w:cstheme="majorBidi"/>
                <w:sz w:val="22"/>
                <w:szCs w:val="22"/>
              </w:rPr>
              <w:t>Provides opportunity to coordinate learning between home and school</w:t>
            </w:r>
            <w:r w:rsidRPr="00DE6A57">
              <w:rPr>
                <w:rFonts w:asciiTheme="minorHAnsi" w:hAnsiTheme="minorHAnsi" w:cstheme="majorBidi"/>
                <w:sz w:val="22"/>
                <w:szCs w:val="22"/>
              </w:rPr>
              <w:t xml:space="preserve"> </w:t>
            </w:r>
          </w:p>
        </w:tc>
        <w:tc>
          <w:tcPr>
            <w:tcW w:w="3690" w:type="dxa"/>
          </w:tcPr>
          <w:p w:rsidR="008D76EF" w:rsidRPr="000E6E00" w:rsidRDefault="008D76EF" w:rsidP="008D76EF">
            <w:pPr>
              <w:jc w:val="center"/>
              <w:rPr>
                <w:rFonts w:cstheme="majorBidi"/>
              </w:rPr>
            </w:pPr>
          </w:p>
        </w:tc>
      </w:tr>
    </w:tbl>
    <w:p w:rsidR="005C6A95" w:rsidRPr="000E6E00" w:rsidRDefault="00046635">
      <w:pPr>
        <w:rPr>
          <w:rFonts w:cstheme="majorBidi"/>
        </w:rPr>
      </w:pPr>
    </w:p>
    <w:sectPr w:rsidR="005C6A95" w:rsidRPr="000E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5D0"/>
    <w:multiLevelType w:val="hybridMultilevel"/>
    <w:tmpl w:val="479C8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11293"/>
    <w:multiLevelType w:val="hybridMultilevel"/>
    <w:tmpl w:val="A9C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65A0"/>
    <w:multiLevelType w:val="hybridMultilevel"/>
    <w:tmpl w:val="82E27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EF7AEA"/>
    <w:multiLevelType w:val="hybridMultilevel"/>
    <w:tmpl w:val="70E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958C0"/>
    <w:multiLevelType w:val="hybridMultilevel"/>
    <w:tmpl w:val="F8C6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922121"/>
    <w:multiLevelType w:val="hybridMultilevel"/>
    <w:tmpl w:val="900E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DE1694"/>
    <w:multiLevelType w:val="hybridMultilevel"/>
    <w:tmpl w:val="A9E4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45"/>
    <w:rsid w:val="00046635"/>
    <w:rsid w:val="000E6E00"/>
    <w:rsid w:val="00247F16"/>
    <w:rsid w:val="002E4869"/>
    <w:rsid w:val="00320779"/>
    <w:rsid w:val="00370B77"/>
    <w:rsid w:val="003764D3"/>
    <w:rsid w:val="003A6C86"/>
    <w:rsid w:val="00435EFC"/>
    <w:rsid w:val="004A7D9F"/>
    <w:rsid w:val="00631ABB"/>
    <w:rsid w:val="00680084"/>
    <w:rsid w:val="006843B4"/>
    <w:rsid w:val="00714139"/>
    <w:rsid w:val="00722F33"/>
    <w:rsid w:val="007E5645"/>
    <w:rsid w:val="008D76EF"/>
    <w:rsid w:val="009A0B68"/>
    <w:rsid w:val="009B3E61"/>
    <w:rsid w:val="009B447D"/>
    <w:rsid w:val="00A2750A"/>
    <w:rsid w:val="00A94094"/>
    <w:rsid w:val="00A976A9"/>
    <w:rsid w:val="00AF4573"/>
    <w:rsid w:val="00AF7F2B"/>
    <w:rsid w:val="00B772FC"/>
    <w:rsid w:val="00C01D67"/>
    <w:rsid w:val="00C83F7C"/>
    <w:rsid w:val="00CA49CA"/>
    <w:rsid w:val="00D701B2"/>
    <w:rsid w:val="00DE6A57"/>
    <w:rsid w:val="00E26D82"/>
    <w:rsid w:val="00E36969"/>
    <w:rsid w:val="00EB73B1"/>
    <w:rsid w:val="00F4320E"/>
    <w:rsid w:val="00FB3F14"/>
    <w:rsid w:val="00FD00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D27D0-8F27-4872-815D-91490565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4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6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45"/>
    <w:pPr>
      <w:ind w:left="720"/>
      <w:contextualSpacing/>
    </w:pPr>
  </w:style>
  <w:style w:type="paragraph" w:styleId="BodyText">
    <w:name w:val="Body Text"/>
    <w:basedOn w:val="Normal"/>
    <w:link w:val="BodyTextChar"/>
    <w:uiPriority w:val="1"/>
    <w:qFormat/>
    <w:rsid w:val="007E5645"/>
    <w:pPr>
      <w:widowControl w:val="0"/>
      <w:spacing w:before="17" w:after="0" w:line="240" w:lineRule="auto"/>
      <w:ind w:left="1630" w:hanging="360"/>
    </w:pPr>
    <w:rPr>
      <w:rFonts w:ascii="Arial" w:eastAsia="Arial" w:hAnsi="Arial"/>
      <w:sz w:val="24"/>
      <w:szCs w:val="24"/>
    </w:rPr>
  </w:style>
  <w:style w:type="character" w:customStyle="1" w:styleId="BodyTextChar">
    <w:name w:val="Body Text Char"/>
    <w:basedOn w:val="DefaultParagraphFont"/>
    <w:link w:val="BodyText"/>
    <w:uiPriority w:val="1"/>
    <w:rsid w:val="007E5645"/>
    <w:rPr>
      <w:rFonts w:ascii="Arial" w:eastAsia="Arial" w:hAnsi="Arial"/>
      <w:sz w:val="24"/>
      <w:szCs w:val="24"/>
      <w:lang w:eastAsia="en-US"/>
    </w:rPr>
  </w:style>
  <w:style w:type="paragraph" w:customStyle="1" w:styleId="Default">
    <w:name w:val="Default"/>
    <w:rsid w:val="00722F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70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B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42">
      <w:bodyDiv w:val="1"/>
      <w:marLeft w:val="0"/>
      <w:marRight w:val="0"/>
      <w:marTop w:val="0"/>
      <w:marBottom w:val="0"/>
      <w:divBdr>
        <w:top w:val="none" w:sz="0" w:space="0" w:color="auto"/>
        <w:left w:val="none" w:sz="0" w:space="0" w:color="auto"/>
        <w:bottom w:val="none" w:sz="0" w:space="0" w:color="auto"/>
        <w:right w:val="none" w:sz="0" w:space="0" w:color="auto"/>
      </w:divBdr>
      <w:divsChild>
        <w:div w:id="650404518">
          <w:marLeft w:val="0"/>
          <w:marRight w:val="0"/>
          <w:marTop w:val="0"/>
          <w:marBottom w:val="0"/>
          <w:divBdr>
            <w:top w:val="none" w:sz="0" w:space="0" w:color="auto"/>
            <w:left w:val="none" w:sz="0" w:space="0" w:color="auto"/>
            <w:bottom w:val="none" w:sz="0" w:space="0" w:color="auto"/>
            <w:right w:val="none" w:sz="0" w:space="0" w:color="auto"/>
          </w:divBdr>
        </w:div>
        <w:div w:id="595476324">
          <w:marLeft w:val="0"/>
          <w:marRight w:val="0"/>
          <w:marTop w:val="0"/>
          <w:marBottom w:val="0"/>
          <w:divBdr>
            <w:top w:val="none" w:sz="0" w:space="0" w:color="auto"/>
            <w:left w:val="none" w:sz="0" w:space="0" w:color="auto"/>
            <w:bottom w:val="none" w:sz="0" w:space="0" w:color="auto"/>
            <w:right w:val="none" w:sz="0" w:space="0" w:color="auto"/>
          </w:divBdr>
        </w:div>
        <w:div w:id="1870022006">
          <w:marLeft w:val="0"/>
          <w:marRight w:val="0"/>
          <w:marTop w:val="0"/>
          <w:marBottom w:val="0"/>
          <w:divBdr>
            <w:top w:val="none" w:sz="0" w:space="0" w:color="auto"/>
            <w:left w:val="none" w:sz="0" w:space="0" w:color="auto"/>
            <w:bottom w:val="none" w:sz="0" w:space="0" w:color="auto"/>
            <w:right w:val="none" w:sz="0" w:space="0" w:color="auto"/>
          </w:divBdr>
        </w:div>
        <w:div w:id="1329483411">
          <w:marLeft w:val="0"/>
          <w:marRight w:val="0"/>
          <w:marTop w:val="0"/>
          <w:marBottom w:val="0"/>
          <w:divBdr>
            <w:top w:val="none" w:sz="0" w:space="0" w:color="auto"/>
            <w:left w:val="none" w:sz="0" w:space="0" w:color="auto"/>
            <w:bottom w:val="none" w:sz="0" w:space="0" w:color="auto"/>
            <w:right w:val="none" w:sz="0" w:space="0" w:color="auto"/>
          </w:divBdr>
        </w:div>
        <w:div w:id="1817064076">
          <w:marLeft w:val="0"/>
          <w:marRight w:val="0"/>
          <w:marTop w:val="0"/>
          <w:marBottom w:val="0"/>
          <w:divBdr>
            <w:top w:val="none" w:sz="0" w:space="0" w:color="auto"/>
            <w:left w:val="none" w:sz="0" w:space="0" w:color="auto"/>
            <w:bottom w:val="none" w:sz="0" w:space="0" w:color="auto"/>
            <w:right w:val="none" w:sz="0" w:space="0" w:color="auto"/>
          </w:divBdr>
        </w:div>
        <w:div w:id="921917396">
          <w:marLeft w:val="0"/>
          <w:marRight w:val="0"/>
          <w:marTop w:val="0"/>
          <w:marBottom w:val="0"/>
          <w:divBdr>
            <w:top w:val="none" w:sz="0" w:space="0" w:color="auto"/>
            <w:left w:val="none" w:sz="0" w:space="0" w:color="auto"/>
            <w:bottom w:val="none" w:sz="0" w:space="0" w:color="auto"/>
            <w:right w:val="none" w:sz="0" w:space="0" w:color="auto"/>
          </w:divBdr>
        </w:div>
        <w:div w:id="357435004">
          <w:marLeft w:val="0"/>
          <w:marRight w:val="0"/>
          <w:marTop w:val="0"/>
          <w:marBottom w:val="0"/>
          <w:divBdr>
            <w:top w:val="none" w:sz="0" w:space="0" w:color="auto"/>
            <w:left w:val="none" w:sz="0" w:space="0" w:color="auto"/>
            <w:bottom w:val="none" w:sz="0" w:space="0" w:color="auto"/>
            <w:right w:val="none" w:sz="0" w:space="0" w:color="auto"/>
          </w:divBdr>
        </w:div>
        <w:div w:id="1371568801">
          <w:marLeft w:val="0"/>
          <w:marRight w:val="0"/>
          <w:marTop w:val="0"/>
          <w:marBottom w:val="0"/>
          <w:divBdr>
            <w:top w:val="none" w:sz="0" w:space="0" w:color="auto"/>
            <w:left w:val="none" w:sz="0" w:space="0" w:color="auto"/>
            <w:bottom w:val="none" w:sz="0" w:space="0" w:color="auto"/>
            <w:right w:val="none" w:sz="0" w:space="0" w:color="auto"/>
          </w:divBdr>
        </w:div>
        <w:div w:id="206064550">
          <w:marLeft w:val="0"/>
          <w:marRight w:val="0"/>
          <w:marTop w:val="0"/>
          <w:marBottom w:val="0"/>
          <w:divBdr>
            <w:top w:val="none" w:sz="0" w:space="0" w:color="auto"/>
            <w:left w:val="none" w:sz="0" w:space="0" w:color="auto"/>
            <w:bottom w:val="none" w:sz="0" w:space="0" w:color="auto"/>
            <w:right w:val="none" w:sz="0" w:space="0" w:color="auto"/>
          </w:divBdr>
        </w:div>
        <w:div w:id="1084424602">
          <w:marLeft w:val="0"/>
          <w:marRight w:val="0"/>
          <w:marTop w:val="0"/>
          <w:marBottom w:val="0"/>
          <w:divBdr>
            <w:top w:val="none" w:sz="0" w:space="0" w:color="auto"/>
            <w:left w:val="none" w:sz="0" w:space="0" w:color="auto"/>
            <w:bottom w:val="none" w:sz="0" w:space="0" w:color="auto"/>
            <w:right w:val="none" w:sz="0" w:space="0" w:color="auto"/>
          </w:divBdr>
        </w:div>
        <w:div w:id="206264413">
          <w:marLeft w:val="0"/>
          <w:marRight w:val="0"/>
          <w:marTop w:val="0"/>
          <w:marBottom w:val="0"/>
          <w:divBdr>
            <w:top w:val="none" w:sz="0" w:space="0" w:color="auto"/>
            <w:left w:val="none" w:sz="0" w:space="0" w:color="auto"/>
            <w:bottom w:val="none" w:sz="0" w:space="0" w:color="auto"/>
            <w:right w:val="none" w:sz="0" w:space="0" w:color="auto"/>
          </w:divBdr>
        </w:div>
      </w:divsChild>
    </w:div>
    <w:div w:id="259291615">
      <w:bodyDiv w:val="1"/>
      <w:marLeft w:val="0"/>
      <w:marRight w:val="0"/>
      <w:marTop w:val="0"/>
      <w:marBottom w:val="0"/>
      <w:divBdr>
        <w:top w:val="none" w:sz="0" w:space="0" w:color="auto"/>
        <w:left w:val="none" w:sz="0" w:space="0" w:color="auto"/>
        <w:bottom w:val="none" w:sz="0" w:space="0" w:color="auto"/>
        <w:right w:val="none" w:sz="0" w:space="0" w:color="auto"/>
      </w:divBdr>
      <w:divsChild>
        <w:div w:id="1781562567">
          <w:marLeft w:val="0"/>
          <w:marRight w:val="0"/>
          <w:marTop w:val="0"/>
          <w:marBottom w:val="0"/>
          <w:divBdr>
            <w:top w:val="none" w:sz="0" w:space="0" w:color="auto"/>
            <w:left w:val="none" w:sz="0" w:space="0" w:color="auto"/>
            <w:bottom w:val="none" w:sz="0" w:space="0" w:color="auto"/>
            <w:right w:val="none" w:sz="0" w:space="0" w:color="auto"/>
          </w:divBdr>
        </w:div>
        <w:div w:id="478838321">
          <w:marLeft w:val="0"/>
          <w:marRight w:val="0"/>
          <w:marTop w:val="0"/>
          <w:marBottom w:val="0"/>
          <w:divBdr>
            <w:top w:val="none" w:sz="0" w:space="0" w:color="auto"/>
            <w:left w:val="none" w:sz="0" w:space="0" w:color="auto"/>
            <w:bottom w:val="none" w:sz="0" w:space="0" w:color="auto"/>
            <w:right w:val="none" w:sz="0" w:space="0" w:color="auto"/>
          </w:divBdr>
        </w:div>
        <w:div w:id="1510289992">
          <w:marLeft w:val="0"/>
          <w:marRight w:val="0"/>
          <w:marTop w:val="0"/>
          <w:marBottom w:val="0"/>
          <w:divBdr>
            <w:top w:val="none" w:sz="0" w:space="0" w:color="auto"/>
            <w:left w:val="none" w:sz="0" w:space="0" w:color="auto"/>
            <w:bottom w:val="none" w:sz="0" w:space="0" w:color="auto"/>
            <w:right w:val="none" w:sz="0" w:space="0" w:color="auto"/>
          </w:divBdr>
        </w:div>
        <w:div w:id="338117377">
          <w:marLeft w:val="0"/>
          <w:marRight w:val="0"/>
          <w:marTop w:val="0"/>
          <w:marBottom w:val="0"/>
          <w:divBdr>
            <w:top w:val="none" w:sz="0" w:space="0" w:color="auto"/>
            <w:left w:val="none" w:sz="0" w:space="0" w:color="auto"/>
            <w:bottom w:val="none" w:sz="0" w:space="0" w:color="auto"/>
            <w:right w:val="none" w:sz="0" w:space="0" w:color="auto"/>
          </w:divBdr>
        </w:div>
        <w:div w:id="472404901">
          <w:marLeft w:val="0"/>
          <w:marRight w:val="0"/>
          <w:marTop w:val="0"/>
          <w:marBottom w:val="0"/>
          <w:divBdr>
            <w:top w:val="none" w:sz="0" w:space="0" w:color="auto"/>
            <w:left w:val="none" w:sz="0" w:space="0" w:color="auto"/>
            <w:bottom w:val="none" w:sz="0" w:space="0" w:color="auto"/>
            <w:right w:val="none" w:sz="0" w:space="0" w:color="auto"/>
          </w:divBdr>
        </w:div>
        <w:div w:id="159080180">
          <w:marLeft w:val="0"/>
          <w:marRight w:val="0"/>
          <w:marTop w:val="0"/>
          <w:marBottom w:val="0"/>
          <w:divBdr>
            <w:top w:val="none" w:sz="0" w:space="0" w:color="auto"/>
            <w:left w:val="none" w:sz="0" w:space="0" w:color="auto"/>
            <w:bottom w:val="none" w:sz="0" w:space="0" w:color="auto"/>
            <w:right w:val="none" w:sz="0" w:space="0" w:color="auto"/>
          </w:divBdr>
        </w:div>
        <w:div w:id="1786457813">
          <w:marLeft w:val="0"/>
          <w:marRight w:val="0"/>
          <w:marTop w:val="0"/>
          <w:marBottom w:val="0"/>
          <w:divBdr>
            <w:top w:val="none" w:sz="0" w:space="0" w:color="auto"/>
            <w:left w:val="none" w:sz="0" w:space="0" w:color="auto"/>
            <w:bottom w:val="none" w:sz="0" w:space="0" w:color="auto"/>
            <w:right w:val="none" w:sz="0" w:space="0" w:color="auto"/>
          </w:divBdr>
        </w:div>
        <w:div w:id="1169902084">
          <w:marLeft w:val="0"/>
          <w:marRight w:val="0"/>
          <w:marTop w:val="0"/>
          <w:marBottom w:val="0"/>
          <w:divBdr>
            <w:top w:val="none" w:sz="0" w:space="0" w:color="auto"/>
            <w:left w:val="none" w:sz="0" w:space="0" w:color="auto"/>
            <w:bottom w:val="none" w:sz="0" w:space="0" w:color="auto"/>
            <w:right w:val="none" w:sz="0" w:space="0" w:color="auto"/>
          </w:divBdr>
        </w:div>
        <w:div w:id="417363209">
          <w:marLeft w:val="0"/>
          <w:marRight w:val="0"/>
          <w:marTop w:val="0"/>
          <w:marBottom w:val="0"/>
          <w:divBdr>
            <w:top w:val="none" w:sz="0" w:space="0" w:color="auto"/>
            <w:left w:val="none" w:sz="0" w:space="0" w:color="auto"/>
            <w:bottom w:val="none" w:sz="0" w:space="0" w:color="auto"/>
            <w:right w:val="none" w:sz="0" w:space="0" w:color="auto"/>
          </w:divBdr>
        </w:div>
        <w:div w:id="2007783666">
          <w:marLeft w:val="0"/>
          <w:marRight w:val="0"/>
          <w:marTop w:val="0"/>
          <w:marBottom w:val="0"/>
          <w:divBdr>
            <w:top w:val="none" w:sz="0" w:space="0" w:color="auto"/>
            <w:left w:val="none" w:sz="0" w:space="0" w:color="auto"/>
            <w:bottom w:val="none" w:sz="0" w:space="0" w:color="auto"/>
            <w:right w:val="none" w:sz="0" w:space="0" w:color="auto"/>
          </w:divBdr>
        </w:div>
        <w:div w:id="1762264078">
          <w:marLeft w:val="0"/>
          <w:marRight w:val="0"/>
          <w:marTop w:val="0"/>
          <w:marBottom w:val="0"/>
          <w:divBdr>
            <w:top w:val="none" w:sz="0" w:space="0" w:color="auto"/>
            <w:left w:val="none" w:sz="0" w:space="0" w:color="auto"/>
            <w:bottom w:val="none" w:sz="0" w:space="0" w:color="auto"/>
            <w:right w:val="none" w:sz="0" w:space="0" w:color="auto"/>
          </w:divBdr>
        </w:div>
      </w:divsChild>
    </w:div>
    <w:div w:id="36556331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09">
          <w:marLeft w:val="0"/>
          <w:marRight w:val="0"/>
          <w:marTop w:val="0"/>
          <w:marBottom w:val="0"/>
          <w:divBdr>
            <w:top w:val="none" w:sz="0" w:space="0" w:color="auto"/>
            <w:left w:val="none" w:sz="0" w:space="0" w:color="auto"/>
            <w:bottom w:val="none" w:sz="0" w:space="0" w:color="auto"/>
            <w:right w:val="none" w:sz="0" w:space="0" w:color="auto"/>
          </w:divBdr>
        </w:div>
        <w:div w:id="1876691491">
          <w:marLeft w:val="0"/>
          <w:marRight w:val="0"/>
          <w:marTop w:val="0"/>
          <w:marBottom w:val="0"/>
          <w:divBdr>
            <w:top w:val="none" w:sz="0" w:space="0" w:color="auto"/>
            <w:left w:val="none" w:sz="0" w:space="0" w:color="auto"/>
            <w:bottom w:val="none" w:sz="0" w:space="0" w:color="auto"/>
            <w:right w:val="none" w:sz="0" w:space="0" w:color="auto"/>
          </w:divBdr>
        </w:div>
        <w:div w:id="1836651527">
          <w:marLeft w:val="0"/>
          <w:marRight w:val="0"/>
          <w:marTop w:val="0"/>
          <w:marBottom w:val="0"/>
          <w:divBdr>
            <w:top w:val="none" w:sz="0" w:space="0" w:color="auto"/>
            <w:left w:val="none" w:sz="0" w:space="0" w:color="auto"/>
            <w:bottom w:val="none" w:sz="0" w:space="0" w:color="auto"/>
            <w:right w:val="none" w:sz="0" w:space="0" w:color="auto"/>
          </w:divBdr>
        </w:div>
        <w:div w:id="1637374754">
          <w:marLeft w:val="0"/>
          <w:marRight w:val="0"/>
          <w:marTop w:val="0"/>
          <w:marBottom w:val="0"/>
          <w:divBdr>
            <w:top w:val="none" w:sz="0" w:space="0" w:color="auto"/>
            <w:left w:val="none" w:sz="0" w:space="0" w:color="auto"/>
            <w:bottom w:val="none" w:sz="0" w:space="0" w:color="auto"/>
            <w:right w:val="none" w:sz="0" w:space="0" w:color="auto"/>
          </w:divBdr>
        </w:div>
        <w:div w:id="1414862720">
          <w:marLeft w:val="0"/>
          <w:marRight w:val="0"/>
          <w:marTop w:val="0"/>
          <w:marBottom w:val="0"/>
          <w:divBdr>
            <w:top w:val="none" w:sz="0" w:space="0" w:color="auto"/>
            <w:left w:val="none" w:sz="0" w:space="0" w:color="auto"/>
            <w:bottom w:val="none" w:sz="0" w:space="0" w:color="auto"/>
            <w:right w:val="none" w:sz="0" w:space="0" w:color="auto"/>
          </w:divBdr>
        </w:div>
        <w:div w:id="204102525">
          <w:marLeft w:val="0"/>
          <w:marRight w:val="0"/>
          <w:marTop w:val="0"/>
          <w:marBottom w:val="0"/>
          <w:divBdr>
            <w:top w:val="none" w:sz="0" w:space="0" w:color="auto"/>
            <w:left w:val="none" w:sz="0" w:space="0" w:color="auto"/>
            <w:bottom w:val="none" w:sz="0" w:space="0" w:color="auto"/>
            <w:right w:val="none" w:sz="0" w:space="0" w:color="auto"/>
          </w:divBdr>
        </w:div>
        <w:div w:id="1939482941">
          <w:marLeft w:val="0"/>
          <w:marRight w:val="0"/>
          <w:marTop w:val="0"/>
          <w:marBottom w:val="0"/>
          <w:divBdr>
            <w:top w:val="none" w:sz="0" w:space="0" w:color="auto"/>
            <w:left w:val="none" w:sz="0" w:space="0" w:color="auto"/>
            <w:bottom w:val="none" w:sz="0" w:space="0" w:color="auto"/>
            <w:right w:val="none" w:sz="0" w:space="0" w:color="auto"/>
          </w:divBdr>
        </w:div>
        <w:div w:id="256407494">
          <w:marLeft w:val="0"/>
          <w:marRight w:val="0"/>
          <w:marTop w:val="0"/>
          <w:marBottom w:val="0"/>
          <w:divBdr>
            <w:top w:val="none" w:sz="0" w:space="0" w:color="auto"/>
            <w:left w:val="none" w:sz="0" w:space="0" w:color="auto"/>
            <w:bottom w:val="none" w:sz="0" w:space="0" w:color="auto"/>
            <w:right w:val="none" w:sz="0" w:space="0" w:color="auto"/>
          </w:divBdr>
        </w:div>
        <w:div w:id="81875918">
          <w:marLeft w:val="0"/>
          <w:marRight w:val="0"/>
          <w:marTop w:val="0"/>
          <w:marBottom w:val="0"/>
          <w:divBdr>
            <w:top w:val="none" w:sz="0" w:space="0" w:color="auto"/>
            <w:left w:val="none" w:sz="0" w:space="0" w:color="auto"/>
            <w:bottom w:val="none" w:sz="0" w:space="0" w:color="auto"/>
            <w:right w:val="none" w:sz="0" w:space="0" w:color="auto"/>
          </w:divBdr>
        </w:div>
        <w:div w:id="609047450">
          <w:marLeft w:val="0"/>
          <w:marRight w:val="0"/>
          <w:marTop w:val="0"/>
          <w:marBottom w:val="0"/>
          <w:divBdr>
            <w:top w:val="none" w:sz="0" w:space="0" w:color="auto"/>
            <w:left w:val="none" w:sz="0" w:space="0" w:color="auto"/>
            <w:bottom w:val="none" w:sz="0" w:space="0" w:color="auto"/>
            <w:right w:val="none" w:sz="0" w:space="0" w:color="auto"/>
          </w:divBdr>
        </w:div>
        <w:div w:id="1296106710">
          <w:marLeft w:val="0"/>
          <w:marRight w:val="0"/>
          <w:marTop w:val="0"/>
          <w:marBottom w:val="0"/>
          <w:divBdr>
            <w:top w:val="none" w:sz="0" w:space="0" w:color="auto"/>
            <w:left w:val="none" w:sz="0" w:space="0" w:color="auto"/>
            <w:bottom w:val="none" w:sz="0" w:space="0" w:color="auto"/>
            <w:right w:val="none" w:sz="0" w:space="0" w:color="auto"/>
          </w:divBdr>
        </w:div>
      </w:divsChild>
    </w:div>
    <w:div w:id="373239003">
      <w:bodyDiv w:val="1"/>
      <w:marLeft w:val="0"/>
      <w:marRight w:val="0"/>
      <w:marTop w:val="0"/>
      <w:marBottom w:val="0"/>
      <w:divBdr>
        <w:top w:val="none" w:sz="0" w:space="0" w:color="auto"/>
        <w:left w:val="none" w:sz="0" w:space="0" w:color="auto"/>
        <w:bottom w:val="none" w:sz="0" w:space="0" w:color="auto"/>
        <w:right w:val="none" w:sz="0" w:space="0" w:color="auto"/>
      </w:divBdr>
      <w:divsChild>
        <w:div w:id="705373717">
          <w:marLeft w:val="0"/>
          <w:marRight w:val="0"/>
          <w:marTop w:val="0"/>
          <w:marBottom w:val="0"/>
          <w:divBdr>
            <w:top w:val="none" w:sz="0" w:space="0" w:color="auto"/>
            <w:left w:val="none" w:sz="0" w:space="0" w:color="auto"/>
            <w:bottom w:val="none" w:sz="0" w:space="0" w:color="auto"/>
            <w:right w:val="none" w:sz="0" w:space="0" w:color="auto"/>
          </w:divBdr>
        </w:div>
      </w:divsChild>
    </w:div>
    <w:div w:id="631330060">
      <w:bodyDiv w:val="1"/>
      <w:marLeft w:val="0"/>
      <w:marRight w:val="0"/>
      <w:marTop w:val="0"/>
      <w:marBottom w:val="0"/>
      <w:divBdr>
        <w:top w:val="none" w:sz="0" w:space="0" w:color="auto"/>
        <w:left w:val="none" w:sz="0" w:space="0" w:color="auto"/>
        <w:bottom w:val="none" w:sz="0" w:space="0" w:color="auto"/>
        <w:right w:val="none" w:sz="0" w:space="0" w:color="auto"/>
      </w:divBdr>
      <w:divsChild>
        <w:div w:id="1478768807">
          <w:marLeft w:val="1037"/>
          <w:marRight w:val="0"/>
          <w:marTop w:val="134"/>
          <w:marBottom w:val="0"/>
          <w:divBdr>
            <w:top w:val="none" w:sz="0" w:space="0" w:color="auto"/>
            <w:left w:val="none" w:sz="0" w:space="0" w:color="auto"/>
            <w:bottom w:val="none" w:sz="0" w:space="0" w:color="auto"/>
            <w:right w:val="none" w:sz="0" w:space="0" w:color="auto"/>
          </w:divBdr>
        </w:div>
        <w:div w:id="1450973457">
          <w:marLeft w:val="1037"/>
          <w:marRight w:val="0"/>
          <w:marTop w:val="134"/>
          <w:marBottom w:val="0"/>
          <w:divBdr>
            <w:top w:val="none" w:sz="0" w:space="0" w:color="auto"/>
            <w:left w:val="none" w:sz="0" w:space="0" w:color="auto"/>
            <w:bottom w:val="none" w:sz="0" w:space="0" w:color="auto"/>
            <w:right w:val="none" w:sz="0" w:space="0" w:color="auto"/>
          </w:divBdr>
        </w:div>
      </w:divsChild>
    </w:div>
    <w:div w:id="635337988">
      <w:bodyDiv w:val="1"/>
      <w:marLeft w:val="0"/>
      <w:marRight w:val="0"/>
      <w:marTop w:val="0"/>
      <w:marBottom w:val="0"/>
      <w:divBdr>
        <w:top w:val="none" w:sz="0" w:space="0" w:color="auto"/>
        <w:left w:val="none" w:sz="0" w:space="0" w:color="auto"/>
        <w:bottom w:val="none" w:sz="0" w:space="0" w:color="auto"/>
        <w:right w:val="none" w:sz="0" w:space="0" w:color="auto"/>
      </w:divBdr>
      <w:divsChild>
        <w:div w:id="850340926">
          <w:marLeft w:val="0"/>
          <w:marRight w:val="0"/>
          <w:marTop w:val="0"/>
          <w:marBottom w:val="0"/>
          <w:divBdr>
            <w:top w:val="none" w:sz="0" w:space="0" w:color="auto"/>
            <w:left w:val="none" w:sz="0" w:space="0" w:color="auto"/>
            <w:bottom w:val="none" w:sz="0" w:space="0" w:color="auto"/>
            <w:right w:val="none" w:sz="0" w:space="0" w:color="auto"/>
          </w:divBdr>
        </w:div>
        <w:div w:id="1402755601">
          <w:marLeft w:val="0"/>
          <w:marRight w:val="0"/>
          <w:marTop w:val="0"/>
          <w:marBottom w:val="0"/>
          <w:divBdr>
            <w:top w:val="none" w:sz="0" w:space="0" w:color="auto"/>
            <w:left w:val="none" w:sz="0" w:space="0" w:color="auto"/>
            <w:bottom w:val="none" w:sz="0" w:space="0" w:color="auto"/>
            <w:right w:val="none" w:sz="0" w:space="0" w:color="auto"/>
          </w:divBdr>
        </w:div>
        <w:div w:id="1533104038">
          <w:marLeft w:val="0"/>
          <w:marRight w:val="0"/>
          <w:marTop w:val="0"/>
          <w:marBottom w:val="0"/>
          <w:divBdr>
            <w:top w:val="none" w:sz="0" w:space="0" w:color="auto"/>
            <w:left w:val="none" w:sz="0" w:space="0" w:color="auto"/>
            <w:bottom w:val="none" w:sz="0" w:space="0" w:color="auto"/>
            <w:right w:val="none" w:sz="0" w:space="0" w:color="auto"/>
          </w:divBdr>
        </w:div>
        <w:div w:id="1140341357">
          <w:marLeft w:val="0"/>
          <w:marRight w:val="0"/>
          <w:marTop w:val="0"/>
          <w:marBottom w:val="0"/>
          <w:divBdr>
            <w:top w:val="none" w:sz="0" w:space="0" w:color="auto"/>
            <w:left w:val="none" w:sz="0" w:space="0" w:color="auto"/>
            <w:bottom w:val="none" w:sz="0" w:space="0" w:color="auto"/>
            <w:right w:val="none" w:sz="0" w:space="0" w:color="auto"/>
          </w:divBdr>
        </w:div>
        <w:div w:id="249317022">
          <w:marLeft w:val="0"/>
          <w:marRight w:val="0"/>
          <w:marTop w:val="0"/>
          <w:marBottom w:val="0"/>
          <w:divBdr>
            <w:top w:val="none" w:sz="0" w:space="0" w:color="auto"/>
            <w:left w:val="none" w:sz="0" w:space="0" w:color="auto"/>
            <w:bottom w:val="none" w:sz="0" w:space="0" w:color="auto"/>
            <w:right w:val="none" w:sz="0" w:space="0" w:color="auto"/>
          </w:divBdr>
        </w:div>
      </w:divsChild>
    </w:div>
    <w:div w:id="667244942">
      <w:bodyDiv w:val="1"/>
      <w:marLeft w:val="0"/>
      <w:marRight w:val="0"/>
      <w:marTop w:val="0"/>
      <w:marBottom w:val="0"/>
      <w:divBdr>
        <w:top w:val="none" w:sz="0" w:space="0" w:color="auto"/>
        <w:left w:val="none" w:sz="0" w:space="0" w:color="auto"/>
        <w:bottom w:val="none" w:sz="0" w:space="0" w:color="auto"/>
        <w:right w:val="none" w:sz="0" w:space="0" w:color="auto"/>
      </w:divBdr>
      <w:divsChild>
        <w:div w:id="1008993059">
          <w:marLeft w:val="0"/>
          <w:marRight w:val="0"/>
          <w:marTop w:val="0"/>
          <w:marBottom w:val="0"/>
          <w:divBdr>
            <w:top w:val="none" w:sz="0" w:space="0" w:color="auto"/>
            <w:left w:val="none" w:sz="0" w:space="0" w:color="auto"/>
            <w:bottom w:val="none" w:sz="0" w:space="0" w:color="auto"/>
            <w:right w:val="none" w:sz="0" w:space="0" w:color="auto"/>
          </w:divBdr>
        </w:div>
        <w:div w:id="1368989152">
          <w:marLeft w:val="0"/>
          <w:marRight w:val="0"/>
          <w:marTop w:val="0"/>
          <w:marBottom w:val="0"/>
          <w:divBdr>
            <w:top w:val="none" w:sz="0" w:space="0" w:color="auto"/>
            <w:left w:val="none" w:sz="0" w:space="0" w:color="auto"/>
            <w:bottom w:val="none" w:sz="0" w:space="0" w:color="auto"/>
            <w:right w:val="none" w:sz="0" w:space="0" w:color="auto"/>
          </w:divBdr>
        </w:div>
      </w:divsChild>
    </w:div>
    <w:div w:id="976373949">
      <w:bodyDiv w:val="1"/>
      <w:marLeft w:val="0"/>
      <w:marRight w:val="0"/>
      <w:marTop w:val="0"/>
      <w:marBottom w:val="0"/>
      <w:divBdr>
        <w:top w:val="none" w:sz="0" w:space="0" w:color="auto"/>
        <w:left w:val="none" w:sz="0" w:space="0" w:color="auto"/>
        <w:bottom w:val="none" w:sz="0" w:space="0" w:color="auto"/>
        <w:right w:val="none" w:sz="0" w:space="0" w:color="auto"/>
      </w:divBdr>
      <w:divsChild>
        <w:div w:id="2095665514">
          <w:marLeft w:val="0"/>
          <w:marRight w:val="0"/>
          <w:marTop w:val="0"/>
          <w:marBottom w:val="0"/>
          <w:divBdr>
            <w:top w:val="none" w:sz="0" w:space="0" w:color="auto"/>
            <w:left w:val="none" w:sz="0" w:space="0" w:color="auto"/>
            <w:bottom w:val="none" w:sz="0" w:space="0" w:color="auto"/>
            <w:right w:val="none" w:sz="0" w:space="0" w:color="auto"/>
          </w:divBdr>
        </w:div>
        <w:div w:id="2031443190">
          <w:marLeft w:val="0"/>
          <w:marRight w:val="0"/>
          <w:marTop w:val="0"/>
          <w:marBottom w:val="0"/>
          <w:divBdr>
            <w:top w:val="none" w:sz="0" w:space="0" w:color="auto"/>
            <w:left w:val="none" w:sz="0" w:space="0" w:color="auto"/>
            <w:bottom w:val="none" w:sz="0" w:space="0" w:color="auto"/>
            <w:right w:val="none" w:sz="0" w:space="0" w:color="auto"/>
          </w:divBdr>
        </w:div>
        <w:div w:id="2067531094">
          <w:marLeft w:val="0"/>
          <w:marRight w:val="0"/>
          <w:marTop w:val="0"/>
          <w:marBottom w:val="0"/>
          <w:divBdr>
            <w:top w:val="none" w:sz="0" w:space="0" w:color="auto"/>
            <w:left w:val="none" w:sz="0" w:space="0" w:color="auto"/>
            <w:bottom w:val="none" w:sz="0" w:space="0" w:color="auto"/>
            <w:right w:val="none" w:sz="0" w:space="0" w:color="auto"/>
          </w:divBdr>
        </w:div>
        <w:div w:id="1206602395">
          <w:marLeft w:val="0"/>
          <w:marRight w:val="0"/>
          <w:marTop w:val="0"/>
          <w:marBottom w:val="0"/>
          <w:divBdr>
            <w:top w:val="none" w:sz="0" w:space="0" w:color="auto"/>
            <w:left w:val="none" w:sz="0" w:space="0" w:color="auto"/>
            <w:bottom w:val="none" w:sz="0" w:space="0" w:color="auto"/>
            <w:right w:val="none" w:sz="0" w:space="0" w:color="auto"/>
          </w:divBdr>
        </w:div>
        <w:div w:id="1095518669">
          <w:marLeft w:val="0"/>
          <w:marRight w:val="0"/>
          <w:marTop w:val="0"/>
          <w:marBottom w:val="0"/>
          <w:divBdr>
            <w:top w:val="none" w:sz="0" w:space="0" w:color="auto"/>
            <w:left w:val="none" w:sz="0" w:space="0" w:color="auto"/>
            <w:bottom w:val="none" w:sz="0" w:space="0" w:color="auto"/>
            <w:right w:val="none" w:sz="0" w:space="0" w:color="auto"/>
          </w:divBdr>
        </w:div>
        <w:div w:id="1713530022">
          <w:marLeft w:val="0"/>
          <w:marRight w:val="0"/>
          <w:marTop w:val="0"/>
          <w:marBottom w:val="0"/>
          <w:divBdr>
            <w:top w:val="none" w:sz="0" w:space="0" w:color="auto"/>
            <w:left w:val="none" w:sz="0" w:space="0" w:color="auto"/>
            <w:bottom w:val="none" w:sz="0" w:space="0" w:color="auto"/>
            <w:right w:val="none" w:sz="0" w:space="0" w:color="auto"/>
          </w:divBdr>
        </w:div>
        <w:div w:id="1433933467">
          <w:marLeft w:val="0"/>
          <w:marRight w:val="0"/>
          <w:marTop w:val="0"/>
          <w:marBottom w:val="0"/>
          <w:divBdr>
            <w:top w:val="none" w:sz="0" w:space="0" w:color="auto"/>
            <w:left w:val="none" w:sz="0" w:space="0" w:color="auto"/>
            <w:bottom w:val="none" w:sz="0" w:space="0" w:color="auto"/>
            <w:right w:val="none" w:sz="0" w:space="0" w:color="auto"/>
          </w:divBdr>
        </w:div>
        <w:div w:id="939869502">
          <w:marLeft w:val="0"/>
          <w:marRight w:val="0"/>
          <w:marTop w:val="0"/>
          <w:marBottom w:val="0"/>
          <w:divBdr>
            <w:top w:val="none" w:sz="0" w:space="0" w:color="auto"/>
            <w:left w:val="none" w:sz="0" w:space="0" w:color="auto"/>
            <w:bottom w:val="none" w:sz="0" w:space="0" w:color="auto"/>
            <w:right w:val="none" w:sz="0" w:space="0" w:color="auto"/>
          </w:divBdr>
        </w:div>
        <w:div w:id="2006930520">
          <w:marLeft w:val="0"/>
          <w:marRight w:val="0"/>
          <w:marTop w:val="0"/>
          <w:marBottom w:val="0"/>
          <w:divBdr>
            <w:top w:val="none" w:sz="0" w:space="0" w:color="auto"/>
            <w:left w:val="none" w:sz="0" w:space="0" w:color="auto"/>
            <w:bottom w:val="none" w:sz="0" w:space="0" w:color="auto"/>
            <w:right w:val="none" w:sz="0" w:space="0" w:color="auto"/>
          </w:divBdr>
        </w:div>
        <w:div w:id="1250122300">
          <w:marLeft w:val="0"/>
          <w:marRight w:val="0"/>
          <w:marTop w:val="0"/>
          <w:marBottom w:val="0"/>
          <w:divBdr>
            <w:top w:val="none" w:sz="0" w:space="0" w:color="auto"/>
            <w:left w:val="none" w:sz="0" w:space="0" w:color="auto"/>
            <w:bottom w:val="none" w:sz="0" w:space="0" w:color="auto"/>
            <w:right w:val="none" w:sz="0" w:space="0" w:color="auto"/>
          </w:divBdr>
        </w:div>
        <w:div w:id="1403873942">
          <w:marLeft w:val="0"/>
          <w:marRight w:val="0"/>
          <w:marTop w:val="0"/>
          <w:marBottom w:val="0"/>
          <w:divBdr>
            <w:top w:val="none" w:sz="0" w:space="0" w:color="auto"/>
            <w:left w:val="none" w:sz="0" w:space="0" w:color="auto"/>
            <w:bottom w:val="none" w:sz="0" w:space="0" w:color="auto"/>
            <w:right w:val="none" w:sz="0" w:space="0" w:color="auto"/>
          </w:divBdr>
        </w:div>
        <w:div w:id="670447657">
          <w:marLeft w:val="0"/>
          <w:marRight w:val="0"/>
          <w:marTop w:val="0"/>
          <w:marBottom w:val="0"/>
          <w:divBdr>
            <w:top w:val="none" w:sz="0" w:space="0" w:color="auto"/>
            <w:left w:val="none" w:sz="0" w:space="0" w:color="auto"/>
            <w:bottom w:val="none" w:sz="0" w:space="0" w:color="auto"/>
            <w:right w:val="none" w:sz="0" w:space="0" w:color="auto"/>
          </w:divBdr>
        </w:div>
        <w:div w:id="608509692">
          <w:marLeft w:val="0"/>
          <w:marRight w:val="0"/>
          <w:marTop w:val="0"/>
          <w:marBottom w:val="0"/>
          <w:divBdr>
            <w:top w:val="none" w:sz="0" w:space="0" w:color="auto"/>
            <w:left w:val="none" w:sz="0" w:space="0" w:color="auto"/>
            <w:bottom w:val="none" w:sz="0" w:space="0" w:color="auto"/>
            <w:right w:val="none" w:sz="0" w:space="0" w:color="auto"/>
          </w:divBdr>
        </w:div>
      </w:divsChild>
    </w:div>
    <w:div w:id="1049887583">
      <w:bodyDiv w:val="1"/>
      <w:marLeft w:val="0"/>
      <w:marRight w:val="0"/>
      <w:marTop w:val="0"/>
      <w:marBottom w:val="0"/>
      <w:divBdr>
        <w:top w:val="none" w:sz="0" w:space="0" w:color="auto"/>
        <w:left w:val="none" w:sz="0" w:space="0" w:color="auto"/>
        <w:bottom w:val="none" w:sz="0" w:space="0" w:color="auto"/>
        <w:right w:val="none" w:sz="0" w:space="0" w:color="auto"/>
      </w:divBdr>
      <w:divsChild>
        <w:div w:id="1815367613">
          <w:marLeft w:val="0"/>
          <w:marRight w:val="0"/>
          <w:marTop w:val="0"/>
          <w:marBottom w:val="0"/>
          <w:divBdr>
            <w:top w:val="none" w:sz="0" w:space="0" w:color="auto"/>
            <w:left w:val="none" w:sz="0" w:space="0" w:color="auto"/>
            <w:bottom w:val="none" w:sz="0" w:space="0" w:color="auto"/>
            <w:right w:val="none" w:sz="0" w:space="0" w:color="auto"/>
          </w:divBdr>
        </w:div>
        <w:div w:id="657273976">
          <w:marLeft w:val="0"/>
          <w:marRight w:val="0"/>
          <w:marTop w:val="0"/>
          <w:marBottom w:val="0"/>
          <w:divBdr>
            <w:top w:val="none" w:sz="0" w:space="0" w:color="auto"/>
            <w:left w:val="none" w:sz="0" w:space="0" w:color="auto"/>
            <w:bottom w:val="none" w:sz="0" w:space="0" w:color="auto"/>
            <w:right w:val="none" w:sz="0" w:space="0" w:color="auto"/>
          </w:divBdr>
        </w:div>
        <w:div w:id="2011174890">
          <w:marLeft w:val="0"/>
          <w:marRight w:val="0"/>
          <w:marTop w:val="0"/>
          <w:marBottom w:val="0"/>
          <w:divBdr>
            <w:top w:val="none" w:sz="0" w:space="0" w:color="auto"/>
            <w:left w:val="none" w:sz="0" w:space="0" w:color="auto"/>
            <w:bottom w:val="none" w:sz="0" w:space="0" w:color="auto"/>
            <w:right w:val="none" w:sz="0" w:space="0" w:color="auto"/>
          </w:divBdr>
        </w:div>
        <w:div w:id="61831533">
          <w:marLeft w:val="0"/>
          <w:marRight w:val="0"/>
          <w:marTop w:val="0"/>
          <w:marBottom w:val="0"/>
          <w:divBdr>
            <w:top w:val="none" w:sz="0" w:space="0" w:color="auto"/>
            <w:left w:val="none" w:sz="0" w:space="0" w:color="auto"/>
            <w:bottom w:val="none" w:sz="0" w:space="0" w:color="auto"/>
            <w:right w:val="none" w:sz="0" w:space="0" w:color="auto"/>
          </w:divBdr>
        </w:div>
        <w:div w:id="41755545">
          <w:marLeft w:val="0"/>
          <w:marRight w:val="0"/>
          <w:marTop w:val="0"/>
          <w:marBottom w:val="0"/>
          <w:divBdr>
            <w:top w:val="none" w:sz="0" w:space="0" w:color="auto"/>
            <w:left w:val="none" w:sz="0" w:space="0" w:color="auto"/>
            <w:bottom w:val="none" w:sz="0" w:space="0" w:color="auto"/>
            <w:right w:val="none" w:sz="0" w:space="0" w:color="auto"/>
          </w:divBdr>
        </w:div>
        <w:div w:id="1053888433">
          <w:marLeft w:val="0"/>
          <w:marRight w:val="0"/>
          <w:marTop w:val="0"/>
          <w:marBottom w:val="0"/>
          <w:divBdr>
            <w:top w:val="none" w:sz="0" w:space="0" w:color="auto"/>
            <w:left w:val="none" w:sz="0" w:space="0" w:color="auto"/>
            <w:bottom w:val="none" w:sz="0" w:space="0" w:color="auto"/>
            <w:right w:val="none" w:sz="0" w:space="0" w:color="auto"/>
          </w:divBdr>
        </w:div>
        <w:div w:id="31811337">
          <w:marLeft w:val="0"/>
          <w:marRight w:val="0"/>
          <w:marTop w:val="0"/>
          <w:marBottom w:val="0"/>
          <w:divBdr>
            <w:top w:val="none" w:sz="0" w:space="0" w:color="auto"/>
            <w:left w:val="none" w:sz="0" w:space="0" w:color="auto"/>
            <w:bottom w:val="none" w:sz="0" w:space="0" w:color="auto"/>
            <w:right w:val="none" w:sz="0" w:space="0" w:color="auto"/>
          </w:divBdr>
        </w:div>
        <w:div w:id="1502819344">
          <w:marLeft w:val="0"/>
          <w:marRight w:val="0"/>
          <w:marTop w:val="0"/>
          <w:marBottom w:val="0"/>
          <w:divBdr>
            <w:top w:val="none" w:sz="0" w:space="0" w:color="auto"/>
            <w:left w:val="none" w:sz="0" w:space="0" w:color="auto"/>
            <w:bottom w:val="none" w:sz="0" w:space="0" w:color="auto"/>
            <w:right w:val="none" w:sz="0" w:space="0" w:color="auto"/>
          </w:divBdr>
        </w:div>
        <w:div w:id="1637449185">
          <w:marLeft w:val="0"/>
          <w:marRight w:val="0"/>
          <w:marTop w:val="0"/>
          <w:marBottom w:val="0"/>
          <w:divBdr>
            <w:top w:val="none" w:sz="0" w:space="0" w:color="auto"/>
            <w:left w:val="none" w:sz="0" w:space="0" w:color="auto"/>
            <w:bottom w:val="none" w:sz="0" w:space="0" w:color="auto"/>
            <w:right w:val="none" w:sz="0" w:space="0" w:color="auto"/>
          </w:divBdr>
        </w:div>
        <w:div w:id="1575359503">
          <w:marLeft w:val="0"/>
          <w:marRight w:val="0"/>
          <w:marTop w:val="0"/>
          <w:marBottom w:val="0"/>
          <w:divBdr>
            <w:top w:val="none" w:sz="0" w:space="0" w:color="auto"/>
            <w:left w:val="none" w:sz="0" w:space="0" w:color="auto"/>
            <w:bottom w:val="none" w:sz="0" w:space="0" w:color="auto"/>
            <w:right w:val="none" w:sz="0" w:space="0" w:color="auto"/>
          </w:divBdr>
        </w:div>
        <w:div w:id="66073041">
          <w:marLeft w:val="0"/>
          <w:marRight w:val="0"/>
          <w:marTop w:val="0"/>
          <w:marBottom w:val="0"/>
          <w:divBdr>
            <w:top w:val="none" w:sz="0" w:space="0" w:color="auto"/>
            <w:left w:val="none" w:sz="0" w:space="0" w:color="auto"/>
            <w:bottom w:val="none" w:sz="0" w:space="0" w:color="auto"/>
            <w:right w:val="none" w:sz="0" w:space="0" w:color="auto"/>
          </w:divBdr>
        </w:div>
      </w:divsChild>
    </w:div>
    <w:div w:id="1078743537">
      <w:bodyDiv w:val="1"/>
      <w:marLeft w:val="0"/>
      <w:marRight w:val="0"/>
      <w:marTop w:val="0"/>
      <w:marBottom w:val="0"/>
      <w:divBdr>
        <w:top w:val="none" w:sz="0" w:space="0" w:color="auto"/>
        <w:left w:val="none" w:sz="0" w:space="0" w:color="auto"/>
        <w:bottom w:val="none" w:sz="0" w:space="0" w:color="auto"/>
        <w:right w:val="none" w:sz="0" w:space="0" w:color="auto"/>
      </w:divBdr>
      <w:divsChild>
        <w:div w:id="385371378">
          <w:marLeft w:val="0"/>
          <w:marRight w:val="0"/>
          <w:marTop w:val="0"/>
          <w:marBottom w:val="0"/>
          <w:divBdr>
            <w:top w:val="none" w:sz="0" w:space="0" w:color="auto"/>
            <w:left w:val="none" w:sz="0" w:space="0" w:color="auto"/>
            <w:bottom w:val="none" w:sz="0" w:space="0" w:color="auto"/>
            <w:right w:val="none" w:sz="0" w:space="0" w:color="auto"/>
          </w:divBdr>
        </w:div>
        <w:div w:id="5252490">
          <w:marLeft w:val="0"/>
          <w:marRight w:val="0"/>
          <w:marTop w:val="0"/>
          <w:marBottom w:val="0"/>
          <w:divBdr>
            <w:top w:val="none" w:sz="0" w:space="0" w:color="auto"/>
            <w:left w:val="none" w:sz="0" w:space="0" w:color="auto"/>
            <w:bottom w:val="none" w:sz="0" w:space="0" w:color="auto"/>
            <w:right w:val="none" w:sz="0" w:space="0" w:color="auto"/>
          </w:divBdr>
        </w:div>
        <w:div w:id="1134565864">
          <w:marLeft w:val="0"/>
          <w:marRight w:val="0"/>
          <w:marTop w:val="0"/>
          <w:marBottom w:val="0"/>
          <w:divBdr>
            <w:top w:val="none" w:sz="0" w:space="0" w:color="auto"/>
            <w:left w:val="none" w:sz="0" w:space="0" w:color="auto"/>
            <w:bottom w:val="none" w:sz="0" w:space="0" w:color="auto"/>
            <w:right w:val="none" w:sz="0" w:space="0" w:color="auto"/>
          </w:divBdr>
        </w:div>
        <w:div w:id="1794598425">
          <w:marLeft w:val="0"/>
          <w:marRight w:val="0"/>
          <w:marTop w:val="0"/>
          <w:marBottom w:val="0"/>
          <w:divBdr>
            <w:top w:val="none" w:sz="0" w:space="0" w:color="auto"/>
            <w:left w:val="none" w:sz="0" w:space="0" w:color="auto"/>
            <w:bottom w:val="none" w:sz="0" w:space="0" w:color="auto"/>
            <w:right w:val="none" w:sz="0" w:space="0" w:color="auto"/>
          </w:divBdr>
        </w:div>
        <w:div w:id="1783069082">
          <w:marLeft w:val="0"/>
          <w:marRight w:val="0"/>
          <w:marTop w:val="0"/>
          <w:marBottom w:val="0"/>
          <w:divBdr>
            <w:top w:val="none" w:sz="0" w:space="0" w:color="auto"/>
            <w:left w:val="none" w:sz="0" w:space="0" w:color="auto"/>
            <w:bottom w:val="none" w:sz="0" w:space="0" w:color="auto"/>
            <w:right w:val="none" w:sz="0" w:space="0" w:color="auto"/>
          </w:divBdr>
        </w:div>
      </w:divsChild>
    </w:div>
    <w:div w:id="1229540077">
      <w:bodyDiv w:val="1"/>
      <w:marLeft w:val="0"/>
      <w:marRight w:val="0"/>
      <w:marTop w:val="0"/>
      <w:marBottom w:val="0"/>
      <w:divBdr>
        <w:top w:val="none" w:sz="0" w:space="0" w:color="auto"/>
        <w:left w:val="none" w:sz="0" w:space="0" w:color="auto"/>
        <w:bottom w:val="none" w:sz="0" w:space="0" w:color="auto"/>
        <w:right w:val="none" w:sz="0" w:space="0" w:color="auto"/>
      </w:divBdr>
      <w:divsChild>
        <w:div w:id="854031038">
          <w:marLeft w:val="0"/>
          <w:marRight w:val="0"/>
          <w:marTop w:val="0"/>
          <w:marBottom w:val="0"/>
          <w:divBdr>
            <w:top w:val="none" w:sz="0" w:space="0" w:color="auto"/>
            <w:left w:val="none" w:sz="0" w:space="0" w:color="auto"/>
            <w:bottom w:val="none" w:sz="0" w:space="0" w:color="auto"/>
            <w:right w:val="none" w:sz="0" w:space="0" w:color="auto"/>
          </w:divBdr>
        </w:div>
        <w:div w:id="2033994487">
          <w:marLeft w:val="0"/>
          <w:marRight w:val="0"/>
          <w:marTop w:val="0"/>
          <w:marBottom w:val="0"/>
          <w:divBdr>
            <w:top w:val="none" w:sz="0" w:space="0" w:color="auto"/>
            <w:left w:val="none" w:sz="0" w:space="0" w:color="auto"/>
            <w:bottom w:val="none" w:sz="0" w:space="0" w:color="auto"/>
            <w:right w:val="none" w:sz="0" w:space="0" w:color="auto"/>
          </w:divBdr>
        </w:div>
        <w:div w:id="1987541649">
          <w:marLeft w:val="0"/>
          <w:marRight w:val="0"/>
          <w:marTop w:val="0"/>
          <w:marBottom w:val="0"/>
          <w:divBdr>
            <w:top w:val="none" w:sz="0" w:space="0" w:color="auto"/>
            <w:left w:val="none" w:sz="0" w:space="0" w:color="auto"/>
            <w:bottom w:val="none" w:sz="0" w:space="0" w:color="auto"/>
            <w:right w:val="none" w:sz="0" w:space="0" w:color="auto"/>
          </w:divBdr>
        </w:div>
        <w:div w:id="971523749">
          <w:marLeft w:val="0"/>
          <w:marRight w:val="0"/>
          <w:marTop w:val="0"/>
          <w:marBottom w:val="0"/>
          <w:divBdr>
            <w:top w:val="none" w:sz="0" w:space="0" w:color="auto"/>
            <w:left w:val="none" w:sz="0" w:space="0" w:color="auto"/>
            <w:bottom w:val="none" w:sz="0" w:space="0" w:color="auto"/>
            <w:right w:val="none" w:sz="0" w:space="0" w:color="auto"/>
          </w:divBdr>
        </w:div>
        <w:div w:id="845483938">
          <w:marLeft w:val="0"/>
          <w:marRight w:val="0"/>
          <w:marTop w:val="0"/>
          <w:marBottom w:val="0"/>
          <w:divBdr>
            <w:top w:val="none" w:sz="0" w:space="0" w:color="auto"/>
            <w:left w:val="none" w:sz="0" w:space="0" w:color="auto"/>
            <w:bottom w:val="none" w:sz="0" w:space="0" w:color="auto"/>
            <w:right w:val="none" w:sz="0" w:space="0" w:color="auto"/>
          </w:divBdr>
        </w:div>
      </w:divsChild>
    </w:div>
    <w:div w:id="1640695448">
      <w:bodyDiv w:val="1"/>
      <w:marLeft w:val="0"/>
      <w:marRight w:val="0"/>
      <w:marTop w:val="0"/>
      <w:marBottom w:val="0"/>
      <w:divBdr>
        <w:top w:val="none" w:sz="0" w:space="0" w:color="auto"/>
        <w:left w:val="none" w:sz="0" w:space="0" w:color="auto"/>
        <w:bottom w:val="none" w:sz="0" w:space="0" w:color="auto"/>
        <w:right w:val="none" w:sz="0" w:space="0" w:color="auto"/>
      </w:divBdr>
      <w:divsChild>
        <w:div w:id="72550393">
          <w:marLeft w:val="0"/>
          <w:marRight w:val="0"/>
          <w:marTop w:val="0"/>
          <w:marBottom w:val="0"/>
          <w:divBdr>
            <w:top w:val="none" w:sz="0" w:space="0" w:color="auto"/>
            <w:left w:val="none" w:sz="0" w:space="0" w:color="auto"/>
            <w:bottom w:val="none" w:sz="0" w:space="0" w:color="auto"/>
            <w:right w:val="none" w:sz="0" w:space="0" w:color="auto"/>
          </w:divBdr>
        </w:div>
        <w:div w:id="1459564090">
          <w:marLeft w:val="0"/>
          <w:marRight w:val="0"/>
          <w:marTop w:val="0"/>
          <w:marBottom w:val="0"/>
          <w:divBdr>
            <w:top w:val="none" w:sz="0" w:space="0" w:color="auto"/>
            <w:left w:val="none" w:sz="0" w:space="0" w:color="auto"/>
            <w:bottom w:val="none" w:sz="0" w:space="0" w:color="auto"/>
            <w:right w:val="none" w:sz="0" w:space="0" w:color="auto"/>
          </w:divBdr>
        </w:div>
        <w:div w:id="1921140629">
          <w:marLeft w:val="0"/>
          <w:marRight w:val="0"/>
          <w:marTop w:val="0"/>
          <w:marBottom w:val="0"/>
          <w:divBdr>
            <w:top w:val="none" w:sz="0" w:space="0" w:color="auto"/>
            <w:left w:val="none" w:sz="0" w:space="0" w:color="auto"/>
            <w:bottom w:val="none" w:sz="0" w:space="0" w:color="auto"/>
            <w:right w:val="none" w:sz="0" w:space="0" w:color="auto"/>
          </w:divBdr>
        </w:div>
        <w:div w:id="788205996">
          <w:marLeft w:val="0"/>
          <w:marRight w:val="0"/>
          <w:marTop w:val="0"/>
          <w:marBottom w:val="0"/>
          <w:divBdr>
            <w:top w:val="none" w:sz="0" w:space="0" w:color="auto"/>
            <w:left w:val="none" w:sz="0" w:space="0" w:color="auto"/>
            <w:bottom w:val="none" w:sz="0" w:space="0" w:color="auto"/>
            <w:right w:val="none" w:sz="0" w:space="0" w:color="auto"/>
          </w:divBdr>
        </w:div>
        <w:div w:id="2035492129">
          <w:marLeft w:val="0"/>
          <w:marRight w:val="0"/>
          <w:marTop w:val="0"/>
          <w:marBottom w:val="0"/>
          <w:divBdr>
            <w:top w:val="none" w:sz="0" w:space="0" w:color="auto"/>
            <w:left w:val="none" w:sz="0" w:space="0" w:color="auto"/>
            <w:bottom w:val="none" w:sz="0" w:space="0" w:color="auto"/>
            <w:right w:val="none" w:sz="0" w:space="0" w:color="auto"/>
          </w:divBdr>
        </w:div>
        <w:div w:id="2021929166">
          <w:marLeft w:val="0"/>
          <w:marRight w:val="0"/>
          <w:marTop w:val="0"/>
          <w:marBottom w:val="0"/>
          <w:divBdr>
            <w:top w:val="none" w:sz="0" w:space="0" w:color="auto"/>
            <w:left w:val="none" w:sz="0" w:space="0" w:color="auto"/>
            <w:bottom w:val="none" w:sz="0" w:space="0" w:color="auto"/>
            <w:right w:val="none" w:sz="0" w:space="0" w:color="auto"/>
          </w:divBdr>
        </w:div>
        <w:div w:id="1937128949">
          <w:marLeft w:val="0"/>
          <w:marRight w:val="0"/>
          <w:marTop w:val="0"/>
          <w:marBottom w:val="0"/>
          <w:divBdr>
            <w:top w:val="none" w:sz="0" w:space="0" w:color="auto"/>
            <w:left w:val="none" w:sz="0" w:space="0" w:color="auto"/>
            <w:bottom w:val="none" w:sz="0" w:space="0" w:color="auto"/>
            <w:right w:val="none" w:sz="0" w:space="0" w:color="auto"/>
          </w:divBdr>
        </w:div>
        <w:div w:id="27723518">
          <w:marLeft w:val="0"/>
          <w:marRight w:val="0"/>
          <w:marTop w:val="0"/>
          <w:marBottom w:val="0"/>
          <w:divBdr>
            <w:top w:val="none" w:sz="0" w:space="0" w:color="auto"/>
            <w:left w:val="none" w:sz="0" w:space="0" w:color="auto"/>
            <w:bottom w:val="none" w:sz="0" w:space="0" w:color="auto"/>
            <w:right w:val="none" w:sz="0" w:space="0" w:color="auto"/>
          </w:divBdr>
        </w:div>
        <w:div w:id="1199047557">
          <w:marLeft w:val="0"/>
          <w:marRight w:val="0"/>
          <w:marTop w:val="0"/>
          <w:marBottom w:val="0"/>
          <w:divBdr>
            <w:top w:val="none" w:sz="0" w:space="0" w:color="auto"/>
            <w:left w:val="none" w:sz="0" w:space="0" w:color="auto"/>
            <w:bottom w:val="none" w:sz="0" w:space="0" w:color="auto"/>
            <w:right w:val="none" w:sz="0" w:space="0" w:color="auto"/>
          </w:divBdr>
        </w:div>
        <w:div w:id="484013854">
          <w:marLeft w:val="0"/>
          <w:marRight w:val="0"/>
          <w:marTop w:val="0"/>
          <w:marBottom w:val="0"/>
          <w:divBdr>
            <w:top w:val="none" w:sz="0" w:space="0" w:color="auto"/>
            <w:left w:val="none" w:sz="0" w:space="0" w:color="auto"/>
            <w:bottom w:val="none" w:sz="0" w:space="0" w:color="auto"/>
            <w:right w:val="none" w:sz="0" w:space="0" w:color="auto"/>
          </w:divBdr>
        </w:div>
        <w:div w:id="1691877529">
          <w:marLeft w:val="0"/>
          <w:marRight w:val="0"/>
          <w:marTop w:val="0"/>
          <w:marBottom w:val="0"/>
          <w:divBdr>
            <w:top w:val="none" w:sz="0" w:space="0" w:color="auto"/>
            <w:left w:val="none" w:sz="0" w:space="0" w:color="auto"/>
            <w:bottom w:val="none" w:sz="0" w:space="0" w:color="auto"/>
            <w:right w:val="none" w:sz="0" w:space="0" w:color="auto"/>
          </w:divBdr>
        </w:div>
        <w:div w:id="2044404070">
          <w:marLeft w:val="0"/>
          <w:marRight w:val="0"/>
          <w:marTop w:val="0"/>
          <w:marBottom w:val="0"/>
          <w:divBdr>
            <w:top w:val="none" w:sz="0" w:space="0" w:color="auto"/>
            <w:left w:val="none" w:sz="0" w:space="0" w:color="auto"/>
            <w:bottom w:val="none" w:sz="0" w:space="0" w:color="auto"/>
            <w:right w:val="none" w:sz="0" w:space="0" w:color="auto"/>
          </w:divBdr>
        </w:div>
        <w:div w:id="1183973645">
          <w:marLeft w:val="0"/>
          <w:marRight w:val="0"/>
          <w:marTop w:val="0"/>
          <w:marBottom w:val="0"/>
          <w:divBdr>
            <w:top w:val="none" w:sz="0" w:space="0" w:color="auto"/>
            <w:left w:val="none" w:sz="0" w:space="0" w:color="auto"/>
            <w:bottom w:val="none" w:sz="0" w:space="0" w:color="auto"/>
            <w:right w:val="none" w:sz="0" w:space="0" w:color="auto"/>
          </w:divBdr>
        </w:div>
      </w:divsChild>
    </w:div>
    <w:div w:id="1668634688">
      <w:bodyDiv w:val="1"/>
      <w:marLeft w:val="0"/>
      <w:marRight w:val="0"/>
      <w:marTop w:val="0"/>
      <w:marBottom w:val="0"/>
      <w:divBdr>
        <w:top w:val="none" w:sz="0" w:space="0" w:color="auto"/>
        <w:left w:val="none" w:sz="0" w:space="0" w:color="auto"/>
        <w:bottom w:val="none" w:sz="0" w:space="0" w:color="auto"/>
        <w:right w:val="none" w:sz="0" w:space="0" w:color="auto"/>
      </w:divBdr>
      <w:divsChild>
        <w:div w:id="2052879456">
          <w:marLeft w:val="1037"/>
          <w:marRight w:val="0"/>
          <w:marTop w:val="134"/>
          <w:marBottom w:val="0"/>
          <w:divBdr>
            <w:top w:val="none" w:sz="0" w:space="0" w:color="auto"/>
            <w:left w:val="none" w:sz="0" w:space="0" w:color="auto"/>
            <w:bottom w:val="none" w:sz="0" w:space="0" w:color="auto"/>
            <w:right w:val="none" w:sz="0" w:space="0" w:color="auto"/>
          </w:divBdr>
        </w:div>
        <w:div w:id="1953708786">
          <w:marLeft w:val="1037"/>
          <w:marRight w:val="0"/>
          <w:marTop w:val="134"/>
          <w:marBottom w:val="0"/>
          <w:divBdr>
            <w:top w:val="none" w:sz="0" w:space="0" w:color="auto"/>
            <w:left w:val="none" w:sz="0" w:space="0" w:color="auto"/>
            <w:bottom w:val="none" w:sz="0" w:space="0" w:color="auto"/>
            <w:right w:val="none" w:sz="0" w:space="0" w:color="auto"/>
          </w:divBdr>
        </w:div>
      </w:divsChild>
    </w:div>
    <w:div w:id="1782872104">
      <w:bodyDiv w:val="1"/>
      <w:marLeft w:val="0"/>
      <w:marRight w:val="0"/>
      <w:marTop w:val="0"/>
      <w:marBottom w:val="0"/>
      <w:divBdr>
        <w:top w:val="none" w:sz="0" w:space="0" w:color="auto"/>
        <w:left w:val="none" w:sz="0" w:space="0" w:color="auto"/>
        <w:bottom w:val="none" w:sz="0" w:space="0" w:color="auto"/>
        <w:right w:val="none" w:sz="0" w:space="0" w:color="auto"/>
      </w:divBdr>
      <w:divsChild>
        <w:div w:id="1388601278">
          <w:marLeft w:val="0"/>
          <w:marRight w:val="0"/>
          <w:marTop w:val="0"/>
          <w:marBottom w:val="0"/>
          <w:divBdr>
            <w:top w:val="none" w:sz="0" w:space="0" w:color="auto"/>
            <w:left w:val="none" w:sz="0" w:space="0" w:color="auto"/>
            <w:bottom w:val="none" w:sz="0" w:space="0" w:color="auto"/>
            <w:right w:val="none" w:sz="0" w:space="0" w:color="auto"/>
          </w:divBdr>
        </w:div>
        <w:div w:id="573780692">
          <w:marLeft w:val="0"/>
          <w:marRight w:val="0"/>
          <w:marTop w:val="0"/>
          <w:marBottom w:val="0"/>
          <w:divBdr>
            <w:top w:val="none" w:sz="0" w:space="0" w:color="auto"/>
            <w:left w:val="none" w:sz="0" w:space="0" w:color="auto"/>
            <w:bottom w:val="none" w:sz="0" w:space="0" w:color="auto"/>
            <w:right w:val="none" w:sz="0" w:space="0" w:color="auto"/>
          </w:divBdr>
        </w:div>
        <w:div w:id="389110242">
          <w:marLeft w:val="0"/>
          <w:marRight w:val="0"/>
          <w:marTop w:val="0"/>
          <w:marBottom w:val="0"/>
          <w:divBdr>
            <w:top w:val="none" w:sz="0" w:space="0" w:color="auto"/>
            <w:left w:val="none" w:sz="0" w:space="0" w:color="auto"/>
            <w:bottom w:val="none" w:sz="0" w:space="0" w:color="auto"/>
            <w:right w:val="none" w:sz="0" w:space="0" w:color="auto"/>
          </w:divBdr>
        </w:div>
        <w:div w:id="1296527336">
          <w:marLeft w:val="0"/>
          <w:marRight w:val="0"/>
          <w:marTop w:val="0"/>
          <w:marBottom w:val="0"/>
          <w:divBdr>
            <w:top w:val="none" w:sz="0" w:space="0" w:color="auto"/>
            <w:left w:val="none" w:sz="0" w:space="0" w:color="auto"/>
            <w:bottom w:val="none" w:sz="0" w:space="0" w:color="auto"/>
            <w:right w:val="none" w:sz="0" w:space="0" w:color="auto"/>
          </w:divBdr>
        </w:div>
        <w:div w:id="1303542552">
          <w:marLeft w:val="0"/>
          <w:marRight w:val="0"/>
          <w:marTop w:val="0"/>
          <w:marBottom w:val="0"/>
          <w:divBdr>
            <w:top w:val="none" w:sz="0" w:space="0" w:color="auto"/>
            <w:left w:val="none" w:sz="0" w:space="0" w:color="auto"/>
            <w:bottom w:val="none" w:sz="0" w:space="0" w:color="auto"/>
            <w:right w:val="none" w:sz="0" w:space="0" w:color="auto"/>
          </w:divBdr>
        </w:div>
        <w:div w:id="1746762193">
          <w:marLeft w:val="0"/>
          <w:marRight w:val="0"/>
          <w:marTop w:val="0"/>
          <w:marBottom w:val="0"/>
          <w:divBdr>
            <w:top w:val="none" w:sz="0" w:space="0" w:color="auto"/>
            <w:left w:val="none" w:sz="0" w:space="0" w:color="auto"/>
            <w:bottom w:val="none" w:sz="0" w:space="0" w:color="auto"/>
            <w:right w:val="none" w:sz="0" w:space="0" w:color="auto"/>
          </w:divBdr>
        </w:div>
        <w:div w:id="1982467113">
          <w:marLeft w:val="0"/>
          <w:marRight w:val="0"/>
          <w:marTop w:val="0"/>
          <w:marBottom w:val="0"/>
          <w:divBdr>
            <w:top w:val="none" w:sz="0" w:space="0" w:color="auto"/>
            <w:left w:val="none" w:sz="0" w:space="0" w:color="auto"/>
            <w:bottom w:val="none" w:sz="0" w:space="0" w:color="auto"/>
            <w:right w:val="none" w:sz="0" w:space="0" w:color="auto"/>
          </w:divBdr>
        </w:div>
        <w:div w:id="508719886">
          <w:marLeft w:val="0"/>
          <w:marRight w:val="0"/>
          <w:marTop w:val="0"/>
          <w:marBottom w:val="0"/>
          <w:divBdr>
            <w:top w:val="none" w:sz="0" w:space="0" w:color="auto"/>
            <w:left w:val="none" w:sz="0" w:space="0" w:color="auto"/>
            <w:bottom w:val="none" w:sz="0" w:space="0" w:color="auto"/>
            <w:right w:val="none" w:sz="0" w:space="0" w:color="auto"/>
          </w:divBdr>
        </w:div>
        <w:div w:id="174806620">
          <w:marLeft w:val="0"/>
          <w:marRight w:val="0"/>
          <w:marTop w:val="0"/>
          <w:marBottom w:val="0"/>
          <w:divBdr>
            <w:top w:val="none" w:sz="0" w:space="0" w:color="auto"/>
            <w:left w:val="none" w:sz="0" w:space="0" w:color="auto"/>
            <w:bottom w:val="none" w:sz="0" w:space="0" w:color="auto"/>
            <w:right w:val="none" w:sz="0" w:space="0" w:color="auto"/>
          </w:divBdr>
        </w:div>
        <w:div w:id="919367677">
          <w:marLeft w:val="0"/>
          <w:marRight w:val="0"/>
          <w:marTop w:val="0"/>
          <w:marBottom w:val="0"/>
          <w:divBdr>
            <w:top w:val="none" w:sz="0" w:space="0" w:color="auto"/>
            <w:left w:val="none" w:sz="0" w:space="0" w:color="auto"/>
            <w:bottom w:val="none" w:sz="0" w:space="0" w:color="auto"/>
            <w:right w:val="none" w:sz="0" w:space="0" w:color="auto"/>
          </w:divBdr>
        </w:div>
      </w:divsChild>
    </w:div>
    <w:div w:id="1798446057">
      <w:bodyDiv w:val="1"/>
      <w:marLeft w:val="0"/>
      <w:marRight w:val="0"/>
      <w:marTop w:val="0"/>
      <w:marBottom w:val="0"/>
      <w:divBdr>
        <w:top w:val="none" w:sz="0" w:space="0" w:color="auto"/>
        <w:left w:val="none" w:sz="0" w:space="0" w:color="auto"/>
        <w:bottom w:val="none" w:sz="0" w:space="0" w:color="auto"/>
        <w:right w:val="none" w:sz="0" w:space="0" w:color="auto"/>
      </w:divBdr>
      <w:divsChild>
        <w:div w:id="1413818191">
          <w:marLeft w:val="0"/>
          <w:marRight w:val="0"/>
          <w:marTop w:val="0"/>
          <w:marBottom w:val="0"/>
          <w:divBdr>
            <w:top w:val="none" w:sz="0" w:space="0" w:color="auto"/>
            <w:left w:val="none" w:sz="0" w:space="0" w:color="auto"/>
            <w:bottom w:val="none" w:sz="0" w:space="0" w:color="auto"/>
            <w:right w:val="none" w:sz="0" w:space="0" w:color="auto"/>
          </w:divBdr>
        </w:div>
        <w:div w:id="109978847">
          <w:marLeft w:val="0"/>
          <w:marRight w:val="0"/>
          <w:marTop w:val="0"/>
          <w:marBottom w:val="0"/>
          <w:divBdr>
            <w:top w:val="none" w:sz="0" w:space="0" w:color="auto"/>
            <w:left w:val="none" w:sz="0" w:space="0" w:color="auto"/>
            <w:bottom w:val="none" w:sz="0" w:space="0" w:color="auto"/>
            <w:right w:val="none" w:sz="0" w:space="0" w:color="auto"/>
          </w:divBdr>
        </w:div>
        <w:div w:id="2139295901">
          <w:marLeft w:val="0"/>
          <w:marRight w:val="0"/>
          <w:marTop w:val="0"/>
          <w:marBottom w:val="0"/>
          <w:divBdr>
            <w:top w:val="none" w:sz="0" w:space="0" w:color="auto"/>
            <w:left w:val="none" w:sz="0" w:space="0" w:color="auto"/>
            <w:bottom w:val="none" w:sz="0" w:space="0" w:color="auto"/>
            <w:right w:val="none" w:sz="0" w:space="0" w:color="auto"/>
          </w:divBdr>
        </w:div>
        <w:div w:id="1431196149">
          <w:marLeft w:val="0"/>
          <w:marRight w:val="0"/>
          <w:marTop w:val="0"/>
          <w:marBottom w:val="0"/>
          <w:divBdr>
            <w:top w:val="none" w:sz="0" w:space="0" w:color="auto"/>
            <w:left w:val="none" w:sz="0" w:space="0" w:color="auto"/>
            <w:bottom w:val="none" w:sz="0" w:space="0" w:color="auto"/>
            <w:right w:val="none" w:sz="0" w:space="0" w:color="auto"/>
          </w:divBdr>
        </w:div>
        <w:div w:id="1093932754">
          <w:marLeft w:val="0"/>
          <w:marRight w:val="0"/>
          <w:marTop w:val="0"/>
          <w:marBottom w:val="0"/>
          <w:divBdr>
            <w:top w:val="none" w:sz="0" w:space="0" w:color="auto"/>
            <w:left w:val="none" w:sz="0" w:space="0" w:color="auto"/>
            <w:bottom w:val="none" w:sz="0" w:space="0" w:color="auto"/>
            <w:right w:val="none" w:sz="0" w:space="0" w:color="auto"/>
          </w:divBdr>
        </w:div>
        <w:div w:id="400955367">
          <w:marLeft w:val="0"/>
          <w:marRight w:val="0"/>
          <w:marTop w:val="0"/>
          <w:marBottom w:val="0"/>
          <w:divBdr>
            <w:top w:val="none" w:sz="0" w:space="0" w:color="auto"/>
            <w:left w:val="none" w:sz="0" w:space="0" w:color="auto"/>
            <w:bottom w:val="none" w:sz="0" w:space="0" w:color="auto"/>
            <w:right w:val="none" w:sz="0" w:space="0" w:color="auto"/>
          </w:divBdr>
        </w:div>
        <w:div w:id="2008635735">
          <w:marLeft w:val="0"/>
          <w:marRight w:val="0"/>
          <w:marTop w:val="0"/>
          <w:marBottom w:val="0"/>
          <w:divBdr>
            <w:top w:val="none" w:sz="0" w:space="0" w:color="auto"/>
            <w:left w:val="none" w:sz="0" w:space="0" w:color="auto"/>
            <w:bottom w:val="none" w:sz="0" w:space="0" w:color="auto"/>
            <w:right w:val="none" w:sz="0" w:space="0" w:color="auto"/>
          </w:divBdr>
        </w:div>
        <w:div w:id="23560178">
          <w:marLeft w:val="0"/>
          <w:marRight w:val="0"/>
          <w:marTop w:val="0"/>
          <w:marBottom w:val="0"/>
          <w:divBdr>
            <w:top w:val="none" w:sz="0" w:space="0" w:color="auto"/>
            <w:left w:val="none" w:sz="0" w:space="0" w:color="auto"/>
            <w:bottom w:val="none" w:sz="0" w:space="0" w:color="auto"/>
            <w:right w:val="none" w:sz="0" w:space="0" w:color="auto"/>
          </w:divBdr>
        </w:div>
        <w:div w:id="588271939">
          <w:marLeft w:val="0"/>
          <w:marRight w:val="0"/>
          <w:marTop w:val="0"/>
          <w:marBottom w:val="0"/>
          <w:divBdr>
            <w:top w:val="none" w:sz="0" w:space="0" w:color="auto"/>
            <w:left w:val="none" w:sz="0" w:space="0" w:color="auto"/>
            <w:bottom w:val="none" w:sz="0" w:space="0" w:color="auto"/>
            <w:right w:val="none" w:sz="0" w:space="0" w:color="auto"/>
          </w:divBdr>
        </w:div>
        <w:div w:id="248850921">
          <w:marLeft w:val="0"/>
          <w:marRight w:val="0"/>
          <w:marTop w:val="0"/>
          <w:marBottom w:val="0"/>
          <w:divBdr>
            <w:top w:val="none" w:sz="0" w:space="0" w:color="auto"/>
            <w:left w:val="none" w:sz="0" w:space="0" w:color="auto"/>
            <w:bottom w:val="none" w:sz="0" w:space="0" w:color="auto"/>
            <w:right w:val="none" w:sz="0" w:space="0" w:color="auto"/>
          </w:divBdr>
        </w:div>
      </w:divsChild>
    </w:div>
    <w:div w:id="1842351319">
      <w:bodyDiv w:val="1"/>
      <w:marLeft w:val="0"/>
      <w:marRight w:val="0"/>
      <w:marTop w:val="0"/>
      <w:marBottom w:val="0"/>
      <w:divBdr>
        <w:top w:val="none" w:sz="0" w:space="0" w:color="auto"/>
        <w:left w:val="none" w:sz="0" w:space="0" w:color="auto"/>
        <w:bottom w:val="none" w:sz="0" w:space="0" w:color="auto"/>
        <w:right w:val="none" w:sz="0" w:space="0" w:color="auto"/>
      </w:divBdr>
      <w:divsChild>
        <w:div w:id="1603564445">
          <w:marLeft w:val="0"/>
          <w:marRight w:val="0"/>
          <w:marTop w:val="0"/>
          <w:marBottom w:val="0"/>
          <w:divBdr>
            <w:top w:val="none" w:sz="0" w:space="0" w:color="auto"/>
            <w:left w:val="none" w:sz="0" w:space="0" w:color="auto"/>
            <w:bottom w:val="none" w:sz="0" w:space="0" w:color="auto"/>
            <w:right w:val="none" w:sz="0" w:space="0" w:color="auto"/>
          </w:divBdr>
        </w:div>
        <w:div w:id="1802577201">
          <w:marLeft w:val="0"/>
          <w:marRight w:val="0"/>
          <w:marTop w:val="0"/>
          <w:marBottom w:val="0"/>
          <w:divBdr>
            <w:top w:val="none" w:sz="0" w:space="0" w:color="auto"/>
            <w:left w:val="none" w:sz="0" w:space="0" w:color="auto"/>
            <w:bottom w:val="none" w:sz="0" w:space="0" w:color="auto"/>
            <w:right w:val="none" w:sz="0" w:space="0" w:color="auto"/>
          </w:divBdr>
        </w:div>
      </w:divsChild>
    </w:div>
    <w:div w:id="1966499848">
      <w:bodyDiv w:val="1"/>
      <w:marLeft w:val="0"/>
      <w:marRight w:val="0"/>
      <w:marTop w:val="0"/>
      <w:marBottom w:val="0"/>
      <w:divBdr>
        <w:top w:val="none" w:sz="0" w:space="0" w:color="auto"/>
        <w:left w:val="none" w:sz="0" w:space="0" w:color="auto"/>
        <w:bottom w:val="none" w:sz="0" w:space="0" w:color="auto"/>
        <w:right w:val="none" w:sz="0" w:space="0" w:color="auto"/>
      </w:divBdr>
      <w:divsChild>
        <w:div w:id="2141142587">
          <w:marLeft w:val="0"/>
          <w:marRight w:val="0"/>
          <w:marTop w:val="0"/>
          <w:marBottom w:val="0"/>
          <w:divBdr>
            <w:top w:val="none" w:sz="0" w:space="0" w:color="auto"/>
            <w:left w:val="none" w:sz="0" w:space="0" w:color="auto"/>
            <w:bottom w:val="none" w:sz="0" w:space="0" w:color="auto"/>
            <w:right w:val="none" w:sz="0" w:space="0" w:color="auto"/>
          </w:divBdr>
        </w:div>
        <w:div w:id="1771512747">
          <w:marLeft w:val="0"/>
          <w:marRight w:val="0"/>
          <w:marTop w:val="0"/>
          <w:marBottom w:val="0"/>
          <w:divBdr>
            <w:top w:val="none" w:sz="0" w:space="0" w:color="auto"/>
            <w:left w:val="none" w:sz="0" w:space="0" w:color="auto"/>
            <w:bottom w:val="none" w:sz="0" w:space="0" w:color="auto"/>
            <w:right w:val="none" w:sz="0" w:space="0" w:color="auto"/>
          </w:divBdr>
        </w:div>
      </w:divsChild>
    </w:div>
    <w:div w:id="1975983960">
      <w:bodyDiv w:val="1"/>
      <w:marLeft w:val="0"/>
      <w:marRight w:val="0"/>
      <w:marTop w:val="0"/>
      <w:marBottom w:val="0"/>
      <w:divBdr>
        <w:top w:val="none" w:sz="0" w:space="0" w:color="auto"/>
        <w:left w:val="none" w:sz="0" w:space="0" w:color="auto"/>
        <w:bottom w:val="none" w:sz="0" w:space="0" w:color="auto"/>
        <w:right w:val="none" w:sz="0" w:space="0" w:color="auto"/>
      </w:divBdr>
      <w:divsChild>
        <w:div w:id="1154566999">
          <w:marLeft w:val="0"/>
          <w:marRight w:val="0"/>
          <w:marTop w:val="0"/>
          <w:marBottom w:val="0"/>
          <w:divBdr>
            <w:top w:val="none" w:sz="0" w:space="0" w:color="auto"/>
            <w:left w:val="none" w:sz="0" w:space="0" w:color="auto"/>
            <w:bottom w:val="none" w:sz="0" w:space="0" w:color="auto"/>
            <w:right w:val="none" w:sz="0" w:space="0" w:color="auto"/>
          </w:divBdr>
        </w:div>
        <w:div w:id="1525514141">
          <w:marLeft w:val="0"/>
          <w:marRight w:val="0"/>
          <w:marTop w:val="0"/>
          <w:marBottom w:val="0"/>
          <w:divBdr>
            <w:top w:val="none" w:sz="0" w:space="0" w:color="auto"/>
            <w:left w:val="none" w:sz="0" w:space="0" w:color="auto"/>
            <w:bottom w:val="none" w:sz="0" w:space="0" w:color="auto"/>
            <w:right w:val="none" w:sz="0" w:space="0" w:color="auto"/>
          </w:divBdr>
        </w:div>
        <w:div w:id="1720058264">
          <w:marLeft w:val="0"/>
          <w:marRight w:val="0"/>
          <w:marTop w:val="0"/>
          <w:marBottom w:val="0"/>
          <w:divBdr>
            <w:top w:val="none" w:sz="0" w:space="0" w:color="auto"/>
            <w:left w:val="none" w:sz="0" w:space="0" w:color="auto"/>
            <w:bottom w:val="none" w:sz="0" w:space="0" w:color="auto"/>
            <w:right w:val="none" w:sz="0" w:space="0" w:color="auto"/>
          </w:divBdr>
        </w:div>
        <w:div w:id="765462694">
          <w:marLeft w:val="0"/>
          <w:marRight w:val="0"/>
          <w:marTop w:val="0"/>
          <w:marBottom w:val="0"/>
          <w:divBdr>
            <w:top w:val="none" w:sz="0" w:space="0" w:color="auto"/>
            <w:left w:val="none" w:sz="0" w:space="0" w:color="auto"/>
            <w:bottom w:val="none" w:sz="0" w:space="0" w:color="auto"/>
            <w:right w:val="none" w:sz="0" w:space="0" w:color="auto"/>
          </w:divBdr>
        </w:div>
        <w:div w:id="125995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Guiding Question</dc:creator>
  <cp:keywords/>
  <dc:description/>
  <cp:lastModifiedBy>Jean Cook</cp:lastModifiedBy>
  <cp:revision>2</cp:revision>
  <cp:lastPrinted>2017-02-16T15:11:00Z</cp:lastPrinted>
  <dcterms:created xsi:type="dcterms:W3CDTF">2017-03-01T19:07:00Z</dcterms:created>
  <dcterms:modified xsi:type="dcterms:W3CDTF">2017-03-01T19:07:00Z</dcterms:modified>
</cp:coreProperties>
</file>